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 w:eastAsia="Calibri"/>
          <w:i/>
          <w:sz w:val="22"/>
          <w:szCs w:val="22"/>
          <w:lang w:eastAsia="en-US"/>
        </w:rPr>
      </w:pPr>
      <w:r>
        <w:rPr>
          <w:rFonts w:ascii="Calibri" w:hAnsi="Calibri" w:eastAsia="Calibri"/>
          <w:i/>
          <w:sz w:val="22"/>
          <w:szCs w:val="22"/>
          <w:lang w:eastAsia="en-US"/>
        </w:rPr>
        <w:t xml:space="preserve">          </w:t>
      </w:r>
    </w:p>
    <w:p>
      <w:pPr>
        <w:rPr>
          <w:rFonts w:ascii="Calibri" w:hAnsi="Calibri" w:eastAsia="Calibri" w:cs="Calibri"/>
          <w:b/>
          <w:iCs/>
          <w:sz w:val="22"/>
          <w:szCs w:val="22"/>
          <w:lang w:eastAsia="en-US"/>
        </w:rPr>
      </w:pPr>
      <w:bookmarkStart w:id="0" w:name="_Hlk38867962"/>
      <w:r>
        <w:rPr>
          <w:rFonts w:ascii="Calibri" w:hAnsi="Calibri" w:eastAsia="Calibri" w:cs="Calibri"/>
          <w:b/>
          <w:iCs/>
          <w:sz w:val="22"/>
          <w:szCs w:val="22"/>
          <w:lang w:eastAsia="en-US"/>
        </w:rPr>
        <w:t>LPP.2811.4.2023</w:t>
      </w:r>
    </w:p>
    <w:p>
      <w:pPr>
        <w:jc w:val="center"/>
        <w:rPr>
          <w:rFonts w:ascii="Calibri" w:hAnsi="Calibri" w:eastAsia="Calibri" w:cs="Calibri"/>
          <w:i/>
          <w:sz w:val="22"/>
          <w:szCs w:val="22"/>
          <w:lang w:eastAsia="en-US"/>
        </w:rPr>
      </w:pPr>
    </w:p>
    <w:p>
      <w:pPr>
        <w:jc w:val="center"/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</w:pPr>
    </w:p>
    <w:p>
      <w:pPr>
        <w:jc w:val="center"/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</w:pPr>
      <w:r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  <w:t xml:space="preserve">ZAPROSZENIE DO ZŁOŻENIA OFERTY </w:t>
      </w:r>
    </w:p>
    <w:p>
      <w:pPr>
        <w:jc w:val="center"/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</w:pPr>
    </w:p>
    <w:p>
      <w:pPr>
        <w:jc w:val="both"/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</w:pPr>
      <w:bookmarkStart w:id="1" w:name="_Hlk116461178"/>
      <w:r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  <w:t xml:space="preserve">Na zakup akcesoriów potrzebnych do zrealizowania tych warsztatów i wyposażenie nimi sali edukacyjno-wykładowej w ramach </w:t>
      </w: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>budżetu obywatelskiego Województwa Mazowieckiego – edycja 2022 i wykonania zadania pt.: „Strefa edukacyjna dla kobiet w ciąży i po porodzie”</w:t>
      </w:r>
      <w:r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  <w:br w:type="textWrapping"/>
      </w:r>
    </w:p>
    <w:bookmarkEnd w:id="0"/>
    <w:bookmarkEnd w:id="1"/>
    <w:p>
      <w:pPr>
        <w:suppressAutoHyphens w:val="0"/>
        <w:overflowPunct/>
        <w:autoSpaceDE/>
        <w:autoSpaceDN/>
        <w:adjustRightInd/>
        <w:spacing w:line="276" w:lineRule="auto"/>
        <w:jc w:val="center"/>
        <w:textAlignment w:val="auto"/>
        <w:rPr>
          <w:rFonts w:ascii="Calibri" w:hAnsi="Calibri" w:eastAsia="Calibri" w:cs="Calibri"/>
          <w:i/>
          <w:sz w:val="22"/>
          <w:szCs w:val="22"/>
          <w:lang w:eastAsia="en-US"/>
        </w:rPr>
      </w:pP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eastAsia="Calibri" w:cs="Calibri"/>
          <w:sz w:val="22"/>
          <w:szCs w:val="22"/>
          <w:lang w:eastAsia="en-US"/>
        </w:rPr>
      </w:pPr>
      <w:bookmarkStart w:id="2" w:name="_Hlk117160589"/>
      <w:bookmarkStart w:id="3" w:name="_Hlk116460877"/>
      <w:bookmarkStart w:id="4" w:name="_Hlk38868055"/>
      <w:r>
        <w:rPr>
          <w:rFonts w:ascii="Calibri" w:hAnsi="Calibri" w:eastAsia="Calibri" w:cs="Calibri"/>
          <w:sz w:val="22"/>
          <w:szCs w:val="22"/>
          <w:lang w:eastAsia="en-US"/>
        </w:rPr>
        <w:t xml:space="preserve">Do realizacji niniejszego postępowania nie stosuje się przepisów Ustawę z dnia 11 września 2019 r. – Prawo zamówień publicznych (Dz.U. z 2022 r. poz. 1710 z późn. zm.). </w:t>
      </w:r>
      <w:bookmarkEnd w:id="2"/>
      <w:bookmarkEnd w:id="3"/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eastAsia="Calibri" w:cs="Calibri"/>
          <w:sz w:val="22"/>
          <w:szCs w:val="22"/>
          <w:lang w:eastAsia="en-US"/>
        </w:rPr>
      </w:pPr>
    </w:p>
    <w:bookmarkEnd w:id="4"/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eastAsia="Calibri" w:cs="Calibri"/>
          <w:b/>
          <w:i/>
          <w:sz w:val="22"/>
          <w:szCs w:val="22"/>
          <w:lang w:eastAsia="en-US"/>
        </w:rPr>
      </w:pPr>
      <w:r>
        <w:rPr>
          <w:rFonts w:ascii="Calibri" w:hAnsi="Calibri" w:eastAsia="Calibri" w:cs="Calibri"/>
          <w:b/>
          <w:i/>
          <w:sz w:val="22"/>
          <w:szCs w:val="22"/>
          <w:lang w:eastAsia="en-US"/>
        </w:rPr>
        <w:t>I. Zamawiający:</w:t>
      </w:r>
    </w:p>
    <w:p>
      <w:pPr>
        <w:suppressAutoHyphens w:val="0"/>
        <w:overflowPunct/>
        <w:autoSpaceDE/>
        <w:autoSpaceDN/>
        <w:adjustRightInd/>
        <w:spacing w:after="200"/>
        <w:ind w:left="142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Mazowiecki Szpital Wojewódzki im. św. Jana Pawła II w Siedlcach Sp. z o.o., ul. Poniatowskiego 26</w:t>
      </w:r>
    </w:p>
    <w:p>
      <w:pPr>
        <w:suppressAutoHyphens w:val="0"/>
        <w:overflowPunct/>
        <w:autoSpaceDE/>
        <w:autoSpaceDN/>
        <w:adjustRightInd/>
        <w:spacing w:after="200"/>
        <w:ind w:left="142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08 – 110 Siedlce, NIP: 821 25 77 607</w:t>
      </w:r>
    </w:p>
    <w:p>
      <w:pPr>
        <w:suppressAutoHyphens w:val="0"/>
        <w:overflowPunct/>
        <w:autoSpaceDE/>
        <w:autoSpaceDN/>
        <w:adjustRightInd/>
        <w:spacing w:after="200"/>
        <w:ind w:left="142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II. Wykonawca/Oferent:</w:t>
      </w:r>
    </w:p>
    <w:p>
      <w:p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Podmiot uczestniczący w postępowaniu ofertowym i składający Ofertę w odpowiedzi na Zaproszenie do złożenia oferty. </w:t>
      </w:r>
    </w:p>
    <w:p>
      <w:p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III. Miejsce dostawy:</w:t>
      </w: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Mazowiecki Szpital Wojewódzki im. św. Jana Pawła II w Siedlcach Sp. z o.o., ul. Poniatowskiego 26</w:t>
      </w: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08 – 110 Siedlce</w:t>
      </w:r>
    </w:p>
    <w:p>
      <w:p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IV. Nazwy i kody określone we Wspólnym Słowniku Zamówień:</w:t>
      </w: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30200000-1 urządzenia komputerowe</w:t>
      </w:r>
    </w:p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V.  Opis przedmiotu Zamówienia:</w:t>
      </w:r>
    </w:p>
    <w:p>
      <w:pPr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Dostawa i montaż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sprzętu dydaktycznego. </w:t>
      </w:r>
      <w:r>
        <w:rPr>
          <w:rFonts w:ascii="Calibri" w:hAnsi="Calibri" w:cs="Calibri"/>
          <w:sz w:val="22"/>
          <w:szCs w:val="22"/>
        </w:rPr>
        <w:t xml:space="preserve">Zakres przedmiotowy, ilościowy i wymagane parametry przedstawia </w:t>
      </w:r>
      <w:r>
        <w:rPr>
          <w:rFonts w:ascii="Calibri" w:hAnsi="Calibri" w:cs="Calibri"/>
          <w:b/>
          <w:bCs/>
          <w:sz w:val="22"/>
          <w:szCs w:val="22"/>
        </w:rPr>
        <w:t>Załącznik 2d OPIS PRZEDMIOTU ZAMÓWIENIA CZĘŚĆ IV</w:t>
      </w:r>
    </w:p>
    <w:p>
      <w:pPr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Zamówienie obok dostawy obejmuje również rozładunek i montaż w Miejscu realizacji zamówienia jeżeli jest to konieczne. Wykonawca zapewni aby w dniu odbioru Przedmiot zamówienia był gotowy do użytkowania. </w:t>
      </w:r>
    </w:p>
    <w:p>
      <w:p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Całość dostarczonego wyposażenia objęta zamówieniem musi być wyprodukowana zgodnie z normami europejskimi i regulacjami dotyczącymi bezpieczeństwa. Przedmiotem dostawy może być jedynie wyposażenie nowe fabrycznie.</w:t>
      </w:r>
    </w:p>
    <w:p>
      <w:pPr>
        <w:suppressAutoHyphens w:val="0"/>
        <w:overflowPunct/>
        <w:autoSpaceDE/>
        <w:autoSpaceDN/>
        <w:adjustRightInd/>
        <w:spacing w:after="200"/>
        <w:ind w:left="284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 zamówienia musi odpowiadać parametrom wskazanym przez Zamawiającego. Do oferty należy dołączyć specyfikację techniczną tj. opis techniczny i funkcjonalny lub katalog producenta lub inny dokument, pozwalający na ocenę zgodności ofertowanego produktu, jego elementów, parametrów z wymogami zaproszenia do złożenia oferty odpowiednio dla części Zamówienia </w:t>
      </w:r>
      <w:r>
        <w:rPr>
          <w:rFonts w:ascii="Calibri" w:hAnsi="Calibri" w:cs="Calibri"/>
          <w:b/>
          <w:bCs/>
          <w:sz w:val="22"/>
          <w:szCs w:val="22"/>
        </w:rPr>
        <w:t xml:space="preserve">Załącznik 2 Opis przedmiotu zamówienia 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364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Informacje na temat zakresu wykluczenia oferentów. 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wykluczy z udziału w postępowaniu Wykonawcę, wobec którego zachodzą przesłanki wykluczenia z postępowania na podstawie art. 7 ust. 1 ustawy z dnia 13 kwietnia 2022 r. o szczególnych rozwiązaniach w zakresie przeciwdziałania wspieraniu agresji na Ukrainę oraz służących ochronie bezpieczeństwa narodowego (Dz. U. poz. 835).Należy przedłożyć oświadczenie odnoszące się do powyższego warunku udziału w postępowaniu. Oświadczenie stanowi część formularza oferty </w:t>
      </w:r>
      <w:r>
        <w:rPr>
          <w:rFonts w:ascii="Calibri" w:hAnsi="Calibri" w:cs="Calibri"/>
          <w:b/>
          <w:bCs/>
          <w:sz w:val="22"/>
          <w:szCs w:val="22"/>
        </w:rPr>
        <w:t>(Załącznik nr 1 do Zaproszenia do złożenia oferty część 4)</w:t>
      </w:r>
      <w:r>
        <w:rPr>
          <w:rFonts w:ascii="Calibri" w:hAnsi="Calibri" w:cs="Calibri"/>
          <w:sz w:val="22"/>
          <w:szCs w:val="22"/>
        </w:rPr>
        <w:t>.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Miejsce i termin składania i otwarcia ofert: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Ofertę należy złożyć na udostępnionym formularzu ofertowym, który stanowi </w:t>
      </w:r>
      <w:r>
        <w:rPr>
          <w:rFonts w:ascii="Calibri" w:hAnsi="Calibri" w:cs="Calibri"/>
          <w:b/>
          <w:bCs/>
          <w:sz w:val="22"/>
          <w:szCs w:val="22"/>
        </w:rPr>
        <w:t xml:space="preserve">Załącznik nr 1  </w:t>
      </w:r>
      <w:r>
        <w:rPr>
          <w:rFonts w:ascii="Calibri" w:hAnsi="Calibri" w:cs="Calibri"/>
          <w:sz w:val="22"/>
          <w:szCs w:val="22"/>
        </w:rPr>
        <w:t xml:space="preserve">do Zaproszenia ofertowego za pośrednictwem poczty elektronicznej pod adresem </w:t>
      </w:r>
      <w:r>
        <w:fldChar w:fldCharType="begin"/>
      </w:r>
      <w:r>
        <w:instrText xml:space="preserve"> HYPERLINK "mailto:szkolarodzenia@szpital.siedlce.pl" </w:instrText>
      </w:r>
      <w:r>
        <w:fldChar w:fldCharType="separate"/>
      </w:r>
      <w:r>
        <w:rPr>
          <w:rStyle w:val="12"/>
          <w:rFonts w:ascii="Calibri" w:hAnsi="Calibri" w:cs="Calibri"/>
          <w:sz w:val="22"/>
          <w:szCs w:val="22"/>
        </w:rPr>
        <w:t>szkolarodzenia@szpital.siedlce.pl</w:t>
      </w:r>
      <w:r>
        <w:rPr>
          <w:rStyle w:val="12"/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do dnia 1</w:t>
      </w:r>
      <w:r>
        <w:rPr>
          <w:rFonts w:hint="default" w:ascii="Calibri" w:hAnsi="Calibri" w:cs="Calibri"/>
          <w:b/>
          <w:bCs/>
          <w:sz w:val="22"/>
          <w:szCs w:val="22"/>
          <w:lang w:val="pl-PL"/>
        </w:rPr>
        <w:t>5</w:t>
      </w:r>
      <w:r>
        <w:rPr>
          <w:rFonts w:ascii="Calibri" w:hAnsi="Calibri" w:cs="Calibri"/>
          <w:b/>
          <w:bCs/>
          <w:sz w:val="22"/>
          <w:szCs w:val="22"/>
        </w:rPr>
        <w:t xml:space="preserve">.05.2023 r. do godziny 10:00. </w:t>
      </w:r>
      <w:r>
        <w:rPr>
          <w:rFonts w:ascii="Calibri" w:hAnsi="Calibri" w:cs="Calibri"/>
          <w:sz w:val="22"/>
          <w:szCs w:val="22"/>
        </w:rPr>
        <w:t>Otwarcie ofert nastąpi w dniu 1</w:t>
      </w:r>
      <w:r>
        <w:rPr>
          <w:rFonts w:hint="default" w:ascii="Calibri" w:hAnsi="Calibri" w:cs="Calibri"/>
          <w:sz w:val="22"/>
          <w:szCs w:val="22"/>
          <w:lang w:val="pl-PL"/>
        </w:rPr>
        <w:t>5</w:t>
      </w:r>
      <w:r>
        <w:rPr>
          <w:rFonts w:ascii="Calibri" w:hAnsi="Calibri" w:cs="Calibri"/>
          <w:sz w:val="22"/>
          <w:szCs w:val="22"/>
        </w:rPr>
        <w:t xml:space="preserve">.05.2023 r. o godzinie 13:30, w Siedzibie Zamawiającego.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Oferty, które wpłyną po wyznaczonym terminie składania ofert nie będą rozpatrywane. 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Warunki przygotowania i złożenia oferty: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Ofertę należy sporządzić zgodnie z Formularzem ofertowym stanowiącej </w:t>
      </w:r>
      <w:bookmarkStart w:id="5" w:name="_Hlk117577468"/>
      <w:r>
        <w:rPr>
          <w:rFonts w:ascii="Calibri" w:hAnsi="Calibri" w:cs="Calibri"/>
          <w:b/>
          <w:bCs/>
          <w:sz w:val="22"/>
          <w:szCs w:val="22"/>
        </w:rPr>
        <w:t>Załącznik nr 1 część 4 do Zaproszenia do złożenia oferty</w:t>
      </w:r>
      <w:bookmarkEnd w:id="5"/>
      <w:r>
        <w:rPr>
          <w:rFonts w:ascii="Calibri" w:hAnsi="Calibri" w:cs="Calibri"/>
          <w:b/>
          <w:bCs/>
          <w:sz w:val="22"/>
          <w:szCs w:val="22"/>
        </w:rPr>
        <w:t>.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Ofertę należy złożyć w formie elektronicznej pod adresem: </w:t>
      </w:r>
      <w:r>
        <w:fldChar w:fldCharType="begin"/>
      </w:r>
      <w:r>
        <w:instrText xml:space="preserve"> HYPERLINK "mailto:szkolarodzenia@szpital.siedlce.pl" </w:instrText>
      </w:r>
      <w:r>
        <w:fldChar w:fldCharType="separate"/>
      </w:r>
      <w:r>
        <w:rPr>
          <w:rStyle w:val="12"/>
          <w:rFonts w:ascii="Calibri" w:hAnsi="Calibri" w:cs="Calibri"/>
          <w:sz w:val="22"/>
          <w:szCs w:val="22"/>
        </w:rPr>
        <w:t>szkolarodzenia@szpital.siedlce.pl</w:t>
      </w:r>
      <w:r>
        <w:rPr>
          <w:rStyle w:val="12"/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Przez ofertę należy rozumieć całość wymaganej dokumentacji wskazanej w Zaproszeniu do składania ofert. 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Dokumenty elektroniczne stanowią dokumenty podpisane kwalifikowanym podpisem elektronicznym lub skan podpisanych dokumentów. 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przypadku uznania za najkorzystniejszą ofertę, która została złożona w wersji elektronicznej w formie skanu podpisanych dokumentów Oferent zobowiązany jest dostarczyć ofertę w wersji papierowej przed zawarciem umowy. Dostarczona oferta w formie pisemnej musi w pełni odpowiadać przesłanemu skanowi dokumentów. 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Ofertę należy sporządzić w języku polskim. Dokumenty sporządzone w języku obcym są składane wraz z tłumaczeniem na język polski. 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Oferta powinna być odpisana przez osobę/y upoważnioną/e do reprezentowania Oferenta (oznacza to, że jeżeli z dokumentu określającego status prawny wykonawcy wynika, iż do reprezentowania upoważnionych jest łącznie kilka osób, dokumenty wchodzące w skład oferty muszą być podpisane przez osoby reprezentujące). W przypadku udzielania pełnomocnictwa do podpisania Oferty należy dołączyć stosowne upoważnienie w oryginale podpisane przez osobę/y upoważnioną/e do reprezentowania Oferenta. 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Podpisy nieczytelne powinny zostać opatrzone pieczęcią umożliwiającą identyfikację, bądź do oferty powinna zostać załączona karta wzorów podpisów.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oferty podpisywanej kwalifikowanym podpisem elektronicznym każdy dokument składający się na ofertę musi zostać odpisany. 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może wezwać jednorazowo w wyznaczonym przez siebie terminie (minimum 2 dni roboczych) do złożenia uzupełnienia lub wyjaśnień dotyczących dokumentów Oferty.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skład oferty wchodzą następujące dokumenty:</w:t>
      </w:r>
    </w:p>
    <w:p>
      <w:pPr>
        <w:pStyle w:val="27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Formularz ofertowy wraz z załącznikami, Oferta techniczna</w:t>
      </w:r>
    </w:p>
    <w:p>
      <w:pPr>
        <w:pStyle w:val="27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Dokument potwierdzający umocowanie osób podpisujących ofertę do reprezentowania Oferenta, w przypadku udzielenia pełnomocnictwa (jeśli dotyczy).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Informacja na temat wadium: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nie wymaga wniesienia wadium.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bookmarkStart w:id="6" w:name="_GoBack"/>
      <w:bookmarkEnd w:id="6"/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Termin realizacji zamówienia.</w:t>
      </w:r>
    </w:p>
    <w:p>
      <w:pPr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Termin wykonania Przedmiotu zamówienia </w:t>
      </w:r>
      <w:r>
        <w:rPr>
          <w:rFonts w:ascii="Calibri" w:hAnsi="Calibri" w:cs="Calibri"/>
          <w:b/>
          <w:bCs/>
          <w:sz w:val="22"/>
          <w:szCs w:val="22"/>
        </w:rPr>
        <w:t>do 30 czerwca 2023 r.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Termin ważności oferty: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Oferent związany będzie złożoną ofertą przez okres </w:t>
      </w:r>
      <w:r>
        <w:rPr>
          <w:rFonts w:ascii="Calibri" w:hAnsi="Calibri" w:cs="Calibri"/>
          <w:b/>
          <w:bCs/>
          <w:sz w:val="22"/>
          <w:szCs w:val="22"/>
        </w:rPr>
        <w:t>7 dni</w:t>
      </w:r>
      <w:r>
        <w:rPr>
          <w:rFonts w:ascii="Calibri" w:hAnsi="Calibri" w:cs="Calibri"/>
          <w:sz w:val="22"/>
          <w:szCs w:val="22"/>
        </w:rPr>
        <w:t xml:space="preserve">. Bieg terminu związania ofertą rozpoczyna się w dniu otwarcia ofert. 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Ocena złożonych ofert: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dokona oceny spełnienia warunków udziału w postępowaniu w oparciu o dokumenty złożone przez Oferenta. 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Wyboru najkorzystniejszej oferty dokonuje się spośród ofert spełniających warunki formalne postawione w Zaproszeniu do złożenia oferty (spośród ofert niepodlegających odrzuceniu). 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Kryterium wyboru najkorzystniejszej oferty i zastosowanie wagi: </w:t>
      </w:r>
      <w:r>
        <w:rPr>
          <w:rFonts w:ascii="Calibri" w:hAnsi="Calibri" w:cs="Calibri"/>
          <w:b/>
          <w:bCs/>
          <w:sz w:val="22"/>
          <w:szCs w:val="22"/>
        </w:rPr>
        <w:t>cena brutto oferty – 100%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Liczba punktów badanej oferty=cena minimalna/cena oferty badanej x100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przypadku, gdy złożone dwie lub więcej ofert otrzymały taką samą ilość punktów w kryteriach wyboru, za najkorzystniejszą ofertę uznaje się ofertę z najniższą ceną brutto. W sytuacji wystąpienia ofert o takiej samej najniższej cenie Zamawiający wzywa Oferentów, którzy złożyli oferty o takiej samej najniższej cenie do złożenia w terminie 2 dni roboczych ofert dodatkowych w zakresie dotyczącym ceny brutto. Oferenci, składając oferty dodatkowe, nie mogą przedstawić ceny wyższej niż w złożonych ofertach.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nie złożenia żadne oferty dodatkowej albo złożenia ofert dodatkowych o takiej samej najniższej cenie, albo odrzucenia wszystkich ofert dodatkowych, Zamawiający zakończy postępowanie ofertowe bez wyboru żadnej z ofert. 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Warunki wynagrodzenia Wykonawcy: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za zrealizowanie Przedmiotu zamówienia otrzyma wynagrodzenie zgodnie z Ceną Oferty. 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Ustalone wynagrodzenie będzie wynagrodzeniem niezmiennym i musi obejmować ryzyko i odpowiedzialność Wykonawcy z tytułu oszacowania wszystkich kosztów związanych z realizacją Zamówienia, a także oddziaływania innych czynników mających lub mogących mieć wpływ na koszty.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Wynagrodzenie musi pokrywać wszystkie koszty poniesione przez Wykonawcę w celu prawidłowego terminowego zrealizowania wszystkich czynności niezbędnych do wykonania Zamówienia. 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nie przewiduje udzielenia zaliczki.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płatności wynosi do 30 dni od przekazania Zamawiającemu prawidłowo wystawionej faktury.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Warunki zmiany umowy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 przewiduje możliwości zmiany warunków umowy zawartej w wyniku przeprowadzonego postępowania o udzielenie zamówienia w innych przypadkach niż wskazane w umowie. Projekt umowy stanowi </w:t>
      </w:r>
      <w:r>
        <w:rPr>
          <w:rFonts w:ascii="Calibri" w:hAnsi="Calibri" w:cs="Calibri"/>
          <w:b/>
          <w:bCs/>
          <w:sz w:val="22"/>
          <w:szCs w:val="22"/>
        </w:rPr>
        <w:t>Załącznik nr 3 część 4 do Zaproszenia do złożenia oferty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Warunki odrzucenia oferty</w:t>
      </w:r>
    </w:p>
    <w:p>
      <w:pPr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podlega odrzuceniu w przypadku, gdy:</w:t>
      </w:r>
    </w:p>
    <w:p>
      <w:pPr>
        <w:pStyle w:val="27"/>
        <w:numPr>
          <w:ilvl w:val="0"/>
          <w:numId w:val="4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Jej treść nie odpowiada treści Zaproszenia do złożenia oferty lub</w:t>
      </w:r>
    </w:p>
    <w:p>
      <w:pPr>
        <w:pStyle w:val="27"/>
        <w:numPr>
          <w:ilvl w:val="0"/>
          <w:numId w:val="4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Została złożona przez podmiot:</w:t>
      </w:r>
    </w:p>
    <w:p>
      <w:pPr>
        <w:pStyle w:val="27"/>
        <w:numPr>
          <w:ilvl w:val="0"/>
          <w:numId w:val="5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niespełniający warunków udziału w postepowaniu w sprawie wyboru wykonawcy określonych w Zaproszeniu do złożenia oferty lub</w:t>
      </w:r>
    </w:p>
    <w:p>
      <w:pPr>
        <w:pStyle w:val="27"/>
        <w:numPr>
          <w:ilvl w:val="0"/>
          <w:numId w:val="5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powiązany osobowo lub kapitałowo z zamawiającym lub</w:t>
      </w:r>
    </w:p>
    <w:p>
      <w:pPr>
        <w:pStyle w:val="27"/>
        <w:numPr>
          <w:ilvl w:val="0"/>
          <w:numId w:val="4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została złożona po terminie składania ofert określonych w Zaproszeniu do złożenia oferty.</w:t>
      </w:r>
    </w:p>
    <w:p>
      <w:pPr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dodatkowa podlega odrzuceniu w przypadku gdy:</w:t>
      </w:r>
    </w:p>
    <w:p>
      <w:pPr>
        <w:pStyle w:val="27"/>
        <w:numPr>
          <w:ilvl w:val="0"/>
          <w:numId w:val="6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zawiera cenę wyższą niż w złożonej ofercie lub</w:t>
      </w:r>
    </w:p>
    <w:p>
      <w:pPr>
        <w:pStyle w:val="27"/>
        <w:numPr>
          <w:ilvl w:val="0"/>
          <w:numId w:val="6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została złożona po terminie składania ofert dodatkowych określonym przez Zamawiającego w wezwaniu do złożenia tych ofert.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uznania za najkorzystniejszą ofertę, która została złożona przez Oferenta elektronicznie w postaci skanów dokumentów, umowa nie zostanie zawarta a oferta zostanie odrzucona jeżeli:</w:t>
      </w:r>
    </w:p>
    <w:p>
      <w:pPr>
        <w:pStyle w:val="27"/>
        <w:numPr>
          <w:ilvl w:val="0"/>
          <w:numId w:val="7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zostanie dostarczona przez Oferenta w formie pisemnej lub</w:t>
      </w:r>
    </w:p>
    <w:p>
      <w:pPr>
        <w:pStyle w:val="27"/>
        <w:numPr>
          <w:ilvl w:val="0"/>
          <w:numId w:val="7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dostarczona przez Oferenta w formie pisemnej nie odpowiada w pełni posłanej wersji elektronicznej (skanowi dokumentów).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Informacje dodatkowe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musi w pełni odpowiadać Zaproszeniu do złożenia oferty, zawierać wszystkie informacje wskazane w Zaproszeniu do złożenia oferty i udzielać odpowiedzi na wskazane sprawy.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dopuszcza możliwość składania ofert częściowych. Oferty można składać w odniesieniu do wskazanych części zamówienia.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 dopuszcza możliwości składania ofert wariantowych. 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Oferentowi nie przysługują żadne roszczenia odszkodowawcze w stosunku do Zamawiającego z tytułu złożenia, przyjęcia lub odrzucenia oferty. Wszystkie koszty związane z uczestnictwem w postepowaniu ofertowym ponosi podmiot składający ofertę.  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Wycofanie, zmiana oferty:</w:t>
      </w:r>
    </w:p>
    <w:p>
      <w:pPr>
        <w:pStyle w:val="27"/>
        <w:numPr>
          <w:ilvl w:val="0"/>
          <w:numId w:val="9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może wprowadzić zmiany, poprawki, modyfikacje i uzupełnienia do złożenia oferty pod warunkiem, że Zamawiający otrzyma pisemne powiadomienie o wprowadzeniu zmian przez upływem terminu złożenia oferty. Zmiany, poprawki, modyfikacje i uzupełnienia muszą być złożone w miejscu i według takich samych zasad, jak składana oferta, z dodatkowym oznaczeniem o zmianie,</w:t>
      </w:r>
    </w:p>
    <w:p>
      <w:pPr>
        <w:pStyle w:val="27"/>
        <w:numPr>
          <w:ilvl w:val="0"/>
          <w:numId w:val="9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ma prawo, przed upływem terminu składania ofert, wycofać się z postepowania poprzez złożenie powiadomienia. Wycofanie oferty należy zrobić w miejscu i według zasad obowiązujących przy składaniu oferty. Oferty wycofane nie zostaną otwarte.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Zamawiający, bez podania przyczyny i konsekwencji finansowych wobec Oferentów, może przedłużyć termin złożenia ofert.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Zamawiający, bez konsekwencji finansowych wobec Oferentów, może unieważnić i nie rozstrzygnąć postępowania ofertowego, w następujących przypadkach:</w:t>
      </w:r>
    </w:p>
    <w:p>
      <w:pPr>
        <w:pStyle w:val="27"/>
        <w:numPr>
          <w:ilvl w:val="0"/>
          <w:numId w:val="10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najkorzystniejszej oferty/ofert lub oferta/oferty z najniższą ceną przewyższa kwotę, którą Zamawiający zamierza przeznaczyć na sfinansowanie zamówienia,</w:t>
      </w:r>
    </w:p>
    <w:p>
      <w:pPr>
        <w:pStyle w:val="27"/>
        <w:numPr>
          <w:ilvl w:val="0"/>
          <w:numId w:val="10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Wystąpiła istotna zmiana okoliczności powodująca, że prowadzenie postepowania lub wykonanie zmówienia nie leży w interesie Zamawiającego, czego nie można było wcześniej przewidzieć,</w:t>
      </w:r>
    </w:p>
    <w:p>
      <w:pPr>
        <w:pStyle w:val="27"/>
        <w:numPr>
          <w:ilvl w:val="0"/>
          <w:numId w:val="10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Postepowanie obarczone jest niemożliwą do usunięcia wadą uniemożliwiającą zawarcie niepodlegającej unieważnieniu umowy.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Dodatkowe informacje można uzyskać składając zapytanie na adres e-mail: </w:t>
      </w:r>
      <w:r>
        <w:fldChar w:fldCharType="begin"/>
      </w:r>
      <w:r>
        <w:instrText xml:space="preserve"> HYPERLINK "mailto:szkolarodzenia@szpital.siedlce.pl" </w:instrText>
      </w:r>
      <w:r>
        <w:fldChar w:fldCharType="separate"/>
      </w:r>
      <w:r>
        <w:rPr>
          <w:rStyle w:val="12"/>
          <w:rFonts w:ascii="Calibri" w:hAnsi="Calibri" w:cs="Calibri"/>
          <w:sz w:val="22"/>
          <w:szCs w:val="22"/>
        </w:rPr>
        <w:t>szkolarodzenia@szpital.siedlce.pl</w:t>
      </w:r>
      <w:r>
        <w:rPr>
          <w:rStyle w:val="12"/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Nie później niż na 2 dni przed terminem złożenia ofert. Zamawiający zamieści treść odpowiedzi na stronie internetowej, na której prowadzone jest postępowanie. 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Załączniki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  Formularz ofertowy Część 4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 Opis przedmiotu zamówienia Część 4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4 część 4 Wzór umowy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suppressAutoHyphens w:val="0"/>
        <w:overflowPunct/>
        <w:autoSpaceDE/>
        <w:autoSpaceDN/>
        <w:adjustRightInd/>
        <w:spacing w:after="200"/>
        <w:ind w:left="1004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ind w:left="284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 w:line="276" w:lineRule="auto"/>
        <w:ind w:left="284"/>
        <w:contextualSpacing/>
        <w:jc w:val="both"/>
        <w:textAlignment w:val="auto"/>
        <w:rPr>
          <w:rFonts w:ascii="Calibri" w:hAnsi="Calibri" w:eastAsia="Calibri" w:cs="Calibri"/>
          <w:sz w:val="22"/>
          <w:szCs w:val="22"/>
          <w:lang w:eastAsia="en-US"/>
        </w:rPr>
      </w:pPr>
    </w:p>
    <w:sectPr>
      <w:headerReference r:id="rId3" w:type="default"/>
      <w:headerReference r:id="rId4" w:type="even"/>
      <w:footnotePr>
        <w:pos w:val="beneathText"/>
      </w:footnotePr>
      <w:pgSz w:w="11905" w:h="16837"/>
      <w:pgMar w:top="1417" w:right="1417" w:bottom="1135" w:left="1417" w:header="708" w:footer="708" w:gutter="0"/>
      <w:cols w:space="708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single" w:color="auto" w:sz="4" w:space="1"/>
      </w:pBdr>
    </w:pPr>
    <w:r>
      <w:drawing>
        <wp:inline distT="0" distB="0" distL="0" distR="0">
          <wp:extent cx="2847975" cy="673735"/>
          <wp:effectExtent l="0" t="0" r="1905" b="1206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797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/>
        <w:color w:val="auto"/>
        <w:lang w:val="pl-PL"/>
      </w:rPr>
      <w:drawing>
        <wp:inline distT="0" distB="0" distL="114300" distR="114300">
          <wp:extent cx="2795270" cy="993775"/>
          <wp:effectExtent l="0" t="0" r="8890" b="12065"/>
          <wp:docPr id="2" name="Obraz 2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indek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95270" cy="99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drawing>
        <wp:inline distT="0" distB="0" distL="0" distR="0">
          <wp:extent cx="2847975" cy="673735"/>
          <wp:effectExtent l="0" t="0" r="1905" b="1206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797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/>
        <w:color w:val="auto"/>
        <w:lang w:val="pl-PL"/>
      </w:rPr>
      <w:drawing>
        <wp:inline distT="0" distB="0" distL="114300" distR="114300">
          <wp:extent cx="2795270" cy="993775"/>
          <wp:effectExtent l="0" t="0" r="8890" b="12065"/>
          <wp:docPr id="4" name="Obraz 4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indek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95270" cy="99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DD032F"/>
    <w:multiLevelType w:val="multilevel"/>
    <w:tmpl w:val="0ADD032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4E42"/>
    <w:multiLevelType w:val="multilevel"/>
    <w:tmpl w:val="10FC4E42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93662"/>
    <w:multiLevelType w:val="multilevel"/>
    <w:tmpl w:val="1289366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7BD4"/>
    <w:multiLevelType w:val="multilevel"/>
    <w:tmpl w:val="14F47BD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D019B"/>
    <w:multiLevelType w:val="multilevel"/>
    <w:tmpl w:val="337D019B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2A7BFA"/>
    <w:multiLevelType w:val="multilevel"/>
    <w:tmpl w:val="342A7BFA"/>
    <w:lvl w:ilvl="0" w:tentative="0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E7071"/>
    <w:multiLevelType w:val="multilevel"/>
    <w:tmpl w:val="3F8E707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D6EEC"/>
    <w:multiLevelType w:val="multilevel"/>
    <w:tmpl w:val="41ED6EE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A8414E"/>
    <w:multiLevelType w:val="multilevel"/>
    <w:tmpl w:val="47A8414E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5A371F"/>
    <w:multiLevelType w:val="multilevel"/>
    <w:tmpl w:val="605A371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evenAndOddHeaders w:val="1"/>
  <w:drawingGridHorizontalSpacing w:val="120"/>
  <w:drawingGridVerticalSpacing w:val="120"/>
  <w:displayVerticalDrawingGridEvery w:val="0"/>
  <w:doNotUseMarginsForDrawingGridOrigin w:val="1"/>
  <w:drawingGridHorizontalOrigin w:val="1800"/>
  <w:drawingGridVerticalOrigin w:val="1440"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E3"/>
    <w:rsid w:val="00004AA8"/>
    <w:rsid w:val="00005D4B"/>
    <w:rsid w:val="0000636F"/>
    <w:rsid w:val="00011B1A"/>
    <w:rsid w:val="00015F98"/>
    <w:rsid w:val="00025E0D"/>
    <w:rsid w:val="00026A2D"/>
    <w:rsid w:val="00035AE2"/>
    <w:rsid w:val="00042063"/>
    <w:rsid w:val="000444EE"/>
    <w:rsid w:val="0005448F"/>
    <w:rsid w:val="000621D5"/>
    <w:rsid w:val="00064EEB"/>
    <w:rsid w:val="000704FF"/>
    <w:rsid w:val="000834D4"/>
    <w:rsid w:val="000836D6"/>
    <w:rsid w:val="0009201D"/>
    <w:rsid w:val="00092B82"/>
    <w:rsid w:val="00093B01"/>
    <w:rsid w:val="000A3C11"/>
    <w:rsid w:val="000B4584"/>
    <w:rsid w:val="000B5404"/>
    <w:rsid w:val="000C24E5"/>
    <w:rsid w:val="000D1B8E"/>
    <w:rsid w:val="000E60F1"/>
    <w:rsid w:val="00111537"/>
    <w:rsid w:val="00111E57"/>
    <w:rsid w:val="001149D3"/>
    <w:rsid w:val="00130EE4"/>
    <w:rsid w:val="00131A4B"/>
    <w:rsid w:val="00153736"/>
    <w:rsid w:val="00157DD9"/>
    <w:rsid w:val="0016437E"/>
    <w:rsid w:val="001644B4"/>
    <w:rsid w:val="0019410B"/>
    <w:rsid w:val="00195C1E"/>
    <w:rsid w:val="001B3EF7"/>
    <w:rsid w:val="001B3FFA"/>
    <w:rsid w:val="001B64A4"/>
    <w:rsid w:val="001C5DD4"/>
    <w:rsid w:val="001D1E62"/>
    <w:rsid w:val="001D6409"/>
    <w:rsid w:val="001D6AB3"/>
    <w:rsid w:val="001E052D"/>
    <w:rsid w:val="001E11E1"/>
    <w:rsid w:val="001E337A"/>
    <w:rsid w:val="001E47A7"/>
    <w:rsid w:val="001F105A"/>
    <w:rsid w:val="00201069"/>
    <w:rsid w:val="0020702E"/>
    <w:rsid w:val="0021113B"/>
    <w:rsid w:val="002238E3"/>
    <w:rsid w:val="0023074F"/>
    <w:rsid w:val="002325C9"/>
    <w:rsid w:val="002342DD"/>
    <w:rsid w:val="00236806"/>
    <w:rsid w:val="00246559"/>
    <w:rsid w:val="00256230"/>
    <w:rsid w:val="0026685F"/>
    <w:rsid w:val="00280643"/>
    <w:rsid w:val="002813C7"/>
    <w:rsid w:val="00283251"/>
    <w:rsid w:val="00283D0F"/>
    <w:rsid w:val="002903F8"/>
    <w:rsid w:val="002A280B"/>
    <w:rsid w:val="002A4E7B"/>
    <w:rsid w:val="002B1A14"/>
    <w:rsid w:val="002C28AD"/>
    <w:rsid w:val="002E172F"/>
    <w:rsid w:val="002E1D14"/>
    <w:rsid w:val="002E61BA"/>
    <w:rsid w:val="002E7460"/>
    <w:rsid w:val="00300FE3"/>
    <w:rsid w:val="003109A8"/>
    <w:rsid w:val="003113AC"/>
    <w:rsid w:val="003334C7"/>
    <w:rsid w:val="00335FA6"/>
    <w:rsid w:val="00343F5A"/>
    <w:rsid w:val="003509E1"/>
    <w:rsid w:val="0035692D"/>
    <w:rsid w:val="003612CD"/>
    <w:rsid w:val="003752BC"/>
    <w:rsid w:val="0037695F"/>
    <w:rsid w:val="0038691F"/>
    <w:rsid w:val="003A0484"/>
    <w:rsid w:val="003A6F3F"/>
    <w:rsid w:val="003B6537"/>
    <w:rsid w:val="003B6697"/>
    <w:rsid w:val="003D0AAF"/>
    <w:rsid w:val="003D5D59"/>
    <w:rsid w:val="003E605E"/>
    <w:rsid w:val="003F6659"/>
    <w:rsid w:val="003F75DF"/>
    <w:rsid w:val="00402E16"/>
    <w:rsid w:val="00403357"/>
    <w:rsid w:val="00407678"/>
    <w:rsid w:val="00414BE8"/>
    <w:rsid w:val="00417422"/>
    <w:rsid w:val="004218DE"/>
    <w:rsid w:val="0043492A"/>
    <w:rsid w:val="00440AD4"/>
    <w:rsid w:val="004411A6"/>
    <w:rsid w:val="0044413F"/>
    <w:rsid w:val="004478DE"/>
    <w:rsid w:val="00452908"/>
    <w:rsid w:val="00462871"/>
    <w:rsid w:val="00463B14"/>
    <w:rsid w:val="00470907"/>
    <w:rsid w:val="00481166"/>
    <w:rsid w:val="004915EC"/>
    <w:rsid w:val="004D4B66"/>
    <w:rsid w:val="004D56C6"/>
    <w:rsid w:val="004E455F"/>
    <w:rsid w:val="004E5381"/>
    <w:rsid w:val="0052401F"/>
    <w:rsid w:val="00547D9D"/>
    <w:rsid w:val="00551C52"/>
    <w:rsid w:val="00580563"/>
    <w:rsid w:val="00580A81"/>
    <w:rsid w:val="00581BBE"/>
    <w:rsid w:val="0059384F"/>
    <w:rsid w:val="005A3565"/>
    <w:rsid w:val="005A48F5"/>
    <w:rsid w:val="005A63D5"/>
    <w:rsid w:val="005B073F"/>
    <w:rsid w:val="005C09E9"/>
    <w:rsid w:val="005C55E3"/>
    <w:rsid w:val="005D34E4"/>
    <w:rsid w:val="005D693C"/>
    <w:rsid w:val="005E015F"/>
    <w:rsid w:val="005F06FE"/>
    <w:rsid w:val="005F1F92"/>
    <w:rsid w:val="0060790A"/>
    <w:rsid w:val="00613D80"/>
    <w:rsid w:val="0061483C"/>
    <w:rsid w:val="00633070"/>
    <w:rsid w:val="00640A49"/>
    <w:rsid w:val="006423F7"/>
    <w:rsid w:val="00650F9E"/>
    <w:rsid w:val="006512F2"/>
    <w:rsid w:val="00651523"/>
    <w:rsid w:val="00653821"/>
    <w:rsid w:val="00656CF8"/>
    <w:rsid w:val="00656D21"/>
    <w:rsid w:val="00675D46"/>
    <w:rsid w:val="00677456"/>
    <w:rsid w:val="006922D6"/>
    <w:rsid w:val="006A5D49"/>
    <w:rsid w:val="006B6430"/>
    <w:rsid w:val="006B6B36"/>
    <w:rsid w:val="006D6B03"/>
    <w:rsid w:val="006F75B8"/>
    <w:rsid w:val="007017E3"/>
    <w:rsid w:val="00715F40"/>
    <w:rsid w:val="00716AE3"/>
    <w:rsid w:val="00735723"/>
    <w:rsid w:val="0073792B"/>
    <w:rsid w:val="00743554"/>
    <w:rsid w:val="00746F46"/>
    <w:rsid w:val="00764267"/>
    <w:rsid w:val="00780397"/>
    <w:rsid w:val="007854D9"/>
    <w:rsid w:val="00795BD7"/>
    <w:rsid w:val="007B33C8"/>
    <w:rsid w:val="007B5E01"/>
    <w:rsid w:val="007B6CBB"/>
    <w:rsid w:val="007C085D"/>
    <w:rsid w:val="007D3EBB"/>
    <w:rsid w:val="007E5C6B"/>
    <w:rsid w:val="007E6D4A"/>
    <w:rsid w:val="007F4E5C"/>
    <w:rsid w:val="00800661"/>
    <w:rsid w:val="00803712"/>
    <w:rsid w:val="008263A2"/>
    <w:rsid w:val="0083034D"/>
    <w:rsid w:val="008360F1"/>
    <w:rsid w:val="00840950"/>
    <w:rsid w:val="008456AC"/>
    <w:rsid w:val="008622C0"/>
    <w:rsid w:val="00893AC9"/>
    <w:rsid w:val="00895312"/>
    <w:rsid w:val="008A7ECB"/>
    <w:rsid w:val="008C1032"/>
    <w:rsid w:val="008D2B31"/>
    <w:rsid w:val="008D3058"/>
    <w:rsid w:val="008F1AB0"/>
    <w:rsid w:val="008F2C64"/>
    <w:rsid w:val="00901B98"/>
    <w:rsid w:val="009042FF"/>
    <w:rsid w:val="00905C30"/>
    <w:rsid w:val="00915889"/>
    <w:rsid w:val="00937AAB"/>
    <w:rsid w:val="009440EC"/>
    <w:rsid w:val="0095013E"/>
    <w:rsid w:val="009662C2"/>
    <w:rsid w:val="00966C83"/>
    <w:rsid w:val="00972035"/>
    <w:rsid w:val="00985D74"/>
    <w:rsid w:val="00995533"/>
    <w:rsid w:val="009A02B8"/>
    <w:rsid w:val="009A50D9"/>
    <w:rsid w:val="009A614D"/>
    <w:rsid w:val="009A71C2"/>
    <w:rsid w:val="009B1503"/>
    <w:rsid w:val="009B204B"/>
    <w:rsid w:val="009D3EB5"/>
    <w:rsid w:val="009D578C"/>
    <w:rsid w:val="009D7C30"/>
    <w:rsid w:val="009F0730"/>
    <w:rsid w:val="009F43C3"/>
    <w:rsid w:val="009F61DE"/>
    <w:rsid w:val="00A0090A"/>
    <w:rsid w:val="00A22FB3"/>
    <w:rsid w:val="00A25064"/>
    <w:rsid w:val="00A43325"/>
    <w:rsid w:val="00A46BCB"/>
    <w:rsid w:val="00A5092D"/>
    <w:rsid w:val="00A53874"/>
    <w:rsid w:val="00A54560"/>
    <w:rsid w:val="00A60122"/>
    <w:rsid w:val="00A614C3"/>
    <w:rsid w:val="00A71EF6"/>
    <w:rsid w:val="00A82F7E"/>
    <w:rsid w:val="00A93F55"/>
    <w:rsid w:val="00A9669F"/>
    <w:rsid w:val="00AC259F"/>
    <w:rsid w:val="00AC5B91"/>
    <w:rsid w:val="00AD5CFD"/>
    <w:rsid w:val="00AD5DF2"/>
    <w:rsid w:val="00AF7C28"/>
    <w:rsid w:val="00B01ED7"/>
    <w:rsid w:val="00B1714A"/>
    <w:rsid w:val="00B3031C"/>
    <w:rsid w:val="00B33879"/>
    <w:rsid w:val="00B40FCC"/>
    <w:rsid w:val="00B41734"/>
    <w:rsid w:val="00B44219"/>
    <w:rsid w:val="00B6186F"/>
    <w:rsid w:val="00B627A9"/>
    <w:rsid w:val="00B64513"/>
    <w:rsid w:val="00B71568"/>
    <w:rsid w:val="00B74F32"/>
    <w:rsid w:val="00B80891"/>
    <w:rsid w:val="00B81A71"/>
    <w:rsid w:val="00B935AD"/>
    <w:rsid w:val="00B94885"/>
    <w:rsid w:val="00BA545E"/>
    <w:rsid w:val="00BB2869"/>
    <w:rsid w:val="00BE1E67"/>
    <w:rsid w:val="00BF16FE"/>
    <w:rsid w:val="00BF4625"/>
    <w:rsid w:val="00C0200D"/>
    <w:rsid w:val="00C33E93"/>
    <w:rsid w:val="00C412BD"/>
    <w:rsid w:val="00C52B43"/>
    <w:rsid w:val="00C57E14"/>
    <w:rsid w:val="00C81852"/>
    <w:rsid w:val="00CA731A"/>
    <w:rsid w:val="00CB3CED"/>
    <w:rsid w:val="00CB608C"/>
    <w:rsid w:val="00CB7B05"/>
    <w:rsid w:val="00CC52DF"/>
    <w:rsid w:val="00CD55F8"/>
    <w:rsid w:val="00CE5CA1"/>
    <w:rsid w:val="00CF0809"/>
    <w:rsid w:val="00CF2265"/>
    <w:rsid w:val="00CF3979"/>
    <w:rsid w:val="00D20A1C"/>
    <w:rsid w:val="00D2274D"/>
    <w:rsid w:val="00D245F7"/>
    <w:rsid w:val="00D45098"/>
    <w:rsid w:val="00D46A2D"/>
    <w:rsid w:val="00D52F05"/>
    <w:rsid w:val="00D550EA"/>
    <w:rsid w:val="00D60209"/>
    <w:rsid w:val="00D656D2"/>
    <w:rsid w:val="00D70BFE"/>
    <w:rsid w:val="00D73A6E"/>
    <w:rsid w:val="00D76470"/>
    <w:rsid w:val="00DA2569"/>
    <w:rsid w:val="00DA649B"/>
    <w:rsid w:val="00DB0DF6"/>
    <w:rsid w:val="00DB556C"/>
    <w:rsid w:val="00DE44CD"/>
    <w:rsid w:val="00E42FB3"/>
    <w:rsid w:val="00E643F0"/>
    <w:rsid w:val="00E75700"/>
    <w:rsid w:val="00E81C7C"/>
    <w:rsid w:val="00EA2E0B"/>
    <w:rsid w:val="00EB0125"/>
    <w:rsid w:val="00EB0B96"/>
    <w:rsid w:val="00ED0FBD"/>
    <w:rsid w:val="00EE45AC"/>
    <w:rsid w:val="00EE771D"/>
    <w:rsid w:val="00EF06B7"/>
    <w:rsid w:val="00EF297D"/>
    <w:rsid w:val="00F032AB"/>
    <w:rsid w:val="00F113A3"/>
    <w:rsid w:val="00F11B1B"/>
    <w:rsid w:val="00F1388E"/>
    <w:rsid w:val="00F1691F"/>
    <w:rsid w:val="00F17294"/>
    <w:rsid w:val="00F25C10"/>
    <w:rsid w:val="00F367EC"/>
    <w:rsid w:val="00F53CC3"/>
    <w:rsid w:val="00F62CBD"/>
    <w:rsid w:val="00F665F9"/>
    <w:rsid w:val="00F666C2"/>
    <w:rsid w:val="00F74280"/>
    <w:rsid w:val="00F93820"/>
    <w:rsid w:val="00F93FB3"/>
    <w:rsid w:val="00FA1A97"/>
    <w:rsid w:val="00FA7604"/>
    <w:rsid w:val="00FB5C80"/>
    <w:rsid w:val="00FC036C"/>
    <w:rsid w:val="00FC502D"/>
    <w:rsid w:val="00FC79AB"/>
    <w:rsid w:val="00FD2DF5"/>
    <w:rsid w:val="00FD3D99"/>
    <w:rsid w:val="00FE7200"/>
    <w:rsid w:val="0E0F7F08"/>
    <w:rsid w:val="151A6693"/>
    <w:rsid w:val="1DC94976"/>
    <w:rsid w:val="2A346818"/>
    <w:rsid w:val="382358F3"/>
    <w:rsid w:val="40D97ECD"/>
    <w:rsid w:val="4F9A6B22"/>
    <w:rsid w:val="6B930388"/>
    <w:rsid w:val="70025BEF"/>
    <w:rsid w:val="752C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qFormat="1" w:uiPriority="0" w:name="endnote reference"/>
    <w:lsdException w:qFormat="1"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qFormat="1"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4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Tahoma" w:hAnsi="Tahoma"/>
      <w:sz w:val="16"/>
    </w:rPr>
  </w:style>
  <w:style w:type="paragraph" w:styleId="5">
    <w:name w:val="Body Text"/>
    <w:basedOn w:val="1"/>
    <w:qFormat/>
    <w:uiPriority w:val="0"/>
    <w:pPr>
      <w:spacing w:line="360" w:lineRule="auto"/>
      <w:jc w:val="both"/>
    </w:pPr>
  </w:style>
  <w:style w:type="paragraph" w:styleId="6">
    <w:name w:val="Body Text Indent"/>
    <w:basedOn w:val="1"/>
    <w:link w:val="28"/>
    <w:qFormat/>
    <w:uiPriority w:val="0"/>
    <w:pPr>
      <w:spacing w:after="120"/>
      <w:ind w:left="283"/>
    </w:pPr>
  </w:style>
  <w:style w:type="character" w:styleId="7">
    <w:name w:val="endnote reference"/>
    <w:basedOn w:val="2"/>
    <w:semiHidden/>
    <w:unhideWhenUsed/>
    <w:qFormat/>
    <w:uiPriority w:val="0"/>
    <w:rPr>
      <w:vertAlign w:val="superscript"/>
    </w:rPr>
  </w:style>
  <w:style w:type="paragraph" w:styleId="8">
    <w:name w:val="endnote text"/>
    <w:basedOn w:val="1"/>
    <w:link w:val="30"/>
    <w:semiHidden/>
    <w:unhideWhenUsed/>
    <w:qFormat/>
    <w:uiPriority w:val="0"/>
    <w:rPr>
      <w:sz w:val="20"/>
    </w:rPr>
  </w:style>
  <w:style w:type="paragraph" w:styleId="9">
    <w:name w:val="footer"/>
    <w:basedOn w:val="1"/>
    <w:qFormat/>
    <w:uiPriority w:val="0"/>
  </w:style>
  <w:style w:type="paragraph" w:styleId="10">
    <w:name w:val="footnote text"/>
    <w:basedOn w:val="1"/>
    <w:semiHidden/>
    <w:qFormat/>
    <w:uiPriority w:val="0"/>
    <w:rPr>
      <w:sz w:val="20"/>
    </w:rPr>
  </w:style>
  <w:style w:type="paragraph" w:styleId="11">
    <w:name w:val="header"/>
    <w:basedOn w:val="1"/>
    <w:qFormat/>
    <w:uiPriority w:val="0"/>
  </w:style>
  <w:style w:type="character" w:styleId="12">
    <w:name w:val="Hyperlink"/>
    <w:basedOn w:val="2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"/>
    <w:basedOn w:val="5"/>
    <w:qFormat/>
    <w:uiPriority w:val="0"/>
  </w:style>
  <w:style w:type="paragraph" w:styleId="14">
    <w:name w:val="Signature"/>
    <w:basedOn w:val="1"/>
    <w:qFormat/>
    <w:uiPriority w:val="0"/>
    <w:pPr>
      <w:suppressLineNumbers/>
      <w:spacing w:before="120" w:after="120"/>
    </w:pPr>
    <w:rPr>
      <w:i/>
    </w:rPr>
  </w:style>
  <w:style w:type="table" w:styleId="15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Domy?lna czcionka akapitu"/>
    <w:qFormat/>
    <w:uiPriority w:val="0"/>
  </w:style>
  <w:style w:type="character" w:customStyle="1" w:styleId="17">
    <w:name w:val="Znak Znak4"/>
    <w:basedOn w:val="16"/>
    <w:qFormat/>
    <w:uiPriority w:val="0"/>
    <w:rPr>
      <w:rFonts w:ascii="Tahoma" w:hAnsi="Tahoma"/>
      <w:sz w:val="16"/>
    </w:rPr>
  </w:style>
  <w:style w:type="character" w:customStyle="1" w:styleId="18">
    <w:name w:val="Znak Znak3"/>
    <w:basedOn w:val="16"/>
    <w:qFormat/>
    <w:uiPriority w:val="0"/>
    <w:rPr>
      <w:rFonts w:ascii="Times New Roman" w:hAnsi="Times New Roman"/>
      <w:sz w:val="24"/>
    </w:rPr>
  </w:style>
  <w:style w:type="character" w:customStyle="1" w:styleId="19">
    <w:name w:val="Znak Znak2"/>
    <w:basedOn w:val="16"/>
    <w:qFormat/>
    <w:uiPriority w:val="0"/>
    <w:rPr>
      <w:rFonts w:ascii="Times New Roman" w:hAnsi="Times New Roman"/>
      <w:sz w:val="24"/>
    </w:rPr>
  </w:style>
  <w:style w:type="character" w:customStyle="1" w:styleId="20">
    <w:name w:val="Znak Znak1"/>
    <w:basedOn w:val="16"/>
    <w:qFormat/>
    <w:uiPriority w:val="0"/>
    <w:rPr>
      <w:rFonts w:ascii="Times New Roman" w:hAnsi="Times New Roman"/>
      <w:sz w:val="24"/>
    </w:rPr>
  </w:style>
  <w:style w:type="character" w:customStyle="1" w:styleId="21">
    <w:name w:val="Znak Znak"/>
    <w:basedOn w:val="16"/>
    <w:qFormat/>
    <w:uiPriority w:val="0"/>
    <w:rPr>
      <w:rFonts w:ascii="Times New Roman" w:hAnsi="Times New Roman"/>
      <w:sz w:val="20"/>
    </w:rPr>
  </w:style>
  <w:style w:type="character" w:customStyle="1" w:styleId="22">
    <w:name w:val="Znaki przypisów dolnych"/>
    <w:basedOn w:val="16"/>
    <w:qFormat/>
    <w:uiPriority w:val="0"/>
    <w:rPr>
      <w:vertAlign w:val="superscript"/>
    </w:rPr>
  </w:style>
  <w:style w:type="paragraph" w:customStyle="1" w:styleId="23">
    <w:name w:val="Nag?ówek"/>
    <w:basedOn w:val="1"/>
    <w:next w:val="5"/>
    <w:qFormat/>
    <w:uiPriority w:val="0"/>
    <w:pPr>
      <w:keepNext/>
      <w:spacing w:before="240" w:after="120"/>
    </w:pPr>
    <w:rPr>
      <w:rFonts w:ascii="Arial" w:hAnsi="Arial"/>
      <w:sz w:val="28"/>
    </w:rPr>
  </w:style>
  <w:style w:type="paragraph" w:customStyle="1" w:styleId="24">
    <w:name w:val="Indeks"/>
    <w:basedOn w:val="1"/>
    <w:qFormat/>
    <w:uiPriority w:val="0"/>
    <w:pPr>
      <w:suppressLineNumbers/>
    </w:pPr>
  </w:style>
  <w:style w:type="paragraph" w:customStyle="1" w:styleId="25">
    <w:name w:val="Akapit z list?"/>
    <w:basedOn w:val="1"/>
    <w:qFormat/>
    <w:uiPriority w:val="0"/>
    <w:pPr>
      <w:ind w:left="720"/>
    </w:pPr>
  </w:style>
  <w:style w:type="paragraph" w:customStyle="1" w:styleId="26">
    <w:name w:val="Znak"/>
    <w:basedOn w:val="1"/>
    <w:qFormat/>
    <w:uiPriority w:val="0"/>
  </w:style>
  <w:style w:type="paragraph" w:styleId="27">
    <w:name w:val="List Paragraph"/>
    <w:basedOn w:val="1"/>
    <w:qFormat/>
    <w:uiPriority w:val="34"/>
    <w:pPr>
      <w:ind w:left="720"/>
      <w:contextualSpacing/>
    </w:pPr>
  </w:style>
  <w:style w:type="character" w:customStyle="1" w:styleId="28">
    <w:name w:val="Tekst podstawowy wcięty Znak"/>
    <w:basedOn w:val="2"/>
    <w:link w:val="6"/>
    <w:qFormat/>
    <w:uiPriority w:val="0"/>
    <w:rPr>
      <w:sz w:val="24"/>
    </w:rPr>
  </w:style>
  <w:style w:type="character" w:customStyle="1" w:styleId="29">
    <w:name w:val="Nierozpoznana wzmianka1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0">
    <w:name w:val="Tekst przypisu końcowego Znak"/>
    <w:basedOn w:val="2"/>
    <w:link w:val="8"/>
    <w:semiHidden/>
    <w:qFormat/>
    <w:uiPriority w:val="0"/>
  </w:style>
  <w:style w:type="paragraph" w:customStyle="1" w:styleId="31">
    <w:name w:val="Poprawka1"/>
    <w:hidden/>
    <w:semiHidden/>
    <w:qFormat/>
    <w:uiPriority w:val="99"/>
    <w:rPr>
      <w:rFonts w:ascii="Times New Roman" w:hAnsi="Times New Roman" w:eastAsia="Times New Roman" w:cs="Times New Roman"/>
      <w:sz w:val="24"/>
      <w:lang w:val="pl-PL" w:eastAsia="pl-PL" w:bidi="ar-SA"/>
    </w:rPr>
  </w:style>
  <w:style w:type="character" w:customStyle="1" w:styleId="32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62843-80A9-4689-9A01-02DA9A43EE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Urząd Marszałkowski Województwa Mazowieckiego</Company>
  <Pages>5</Pages>
  <Words>1619</Words>
  <Characters>9715</Characters>
  <Lines>80</Lines>
  <Paragraphs>22</Paragraphs>
  <TotalTime>1</TotalTime>
  <ScaleCrop>false</ScaleCrop>
  <LinksUpToDate>false</LinksUpToDate>
  <CharactersWithSpaces>11312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2022-10-25T07:41:00Z</dcterms:created>
  <dc:creator>Administrator</dc:creator>
  <cp:lastModifiedBy>Położna Siedlce</cp:lastModifiedBy>
  <cp:lastPrinted>2022-10-20T08:04:00Z</cp:lastPrinted>
  <dcterms:modified xsi:type="dcterms:W3CDTF">2023-05-05T19:28:39Z</dcterms:modified>
  <dc:title>Załącznik nr ……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8BE66361071949E08919524387777FAD</vt:lpwstr>
  </property>
</Properties>
</file>