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387" w:rsidRPr="00985040" w:rsidRDefault="00985040" w:rsidP="00985040">
      <w:pPr>
        <w:jc w:val="center"/>
        <w:rPr>
          <w:b/>
        </w:rPr>
      </w:pPr>
      <w:proofErr w:type="spellStart"/>
      <w:r w:rsidRPr="00985040">
        <w:rPr>
          <w:b/>
        </w:rPr>
        <w:t>Zapytania</w:t>
      </w:r>
      <w:proofErr w:type="spellEnd"/>
      <w:r>
        <w:rPr>
          <w:b/>
        </w:rPr>
        <w:t xml:space="preserve"> </w:t>
      </w:r>
      <w:r w:rsidRPr="00985040">
        <w:rPr>
          <w:b/>
        </w:rPr>
        <w:t xml:space="preserve"> do </w:t>
      </w:r>
      <w:proofErr w:type="spellStart"/>
      <w:r w:rsidRPr="00985040">
        <w:rPr>
          <w:b/>
        </w:rPr>
        <w:t>postępowania</w:t>
      </w:r>
      <w:proofErr w:type="spellEnd"/>
      <w:r w:rsidRPr="00985040">
        <w:rPr>
          <w:b/>
        </w:rPr>
        <w:t xml:space="preserve"> FZP.2810.19.2019</w:t>
      </w:r>
    </w:p>
    <w:p w:rsidR="00985040" w:rsidRDefault="00985040" w:rsidP="00985040">
      <w:pPr>
        <w:jc w:val="center"/>
        <w:rPr>
          <w:b/>
        </w:rPr>
      </w:pPr>
    </w:p>
    <w:p w:rsidR="00985040" w:rsidRDefault="00985040" w:rsidP="00985040">
      <w:pPr>
        <w:jc w:val="center"/>
      </w:pPr>
      <w:r w:rsidRPr="00985040">
        <w:rPr>
          <w:b/>
        </w:rPr>
        <w:t>I</w:t>
      </w:r>
    </w:p>
    <w:p w:rsidR="00985040" w:rsidRDefault="00985040" w:rsidP="00985040">
      <w:pPr>
        <w:pStyle w:val="Akapitzlist"/>
        <w:numPr>
          <w:ilvl w:val="0"/>
          <w:numId w:val="1"/>
        </w:numPr>
        <w:rPr>
          <w:rFonts w:asciiTheme="majorBidi" w:hAnsiTheme="majorBidi" w:cstheme="majorBidi"/>
          <w:sz w:val="22"/>
          <w:szCs w:val="22"/>
          <w:lang w:val="pl-PL"/>
        </w:rPr>
      </w:pPr>
      <w:r>
        <w:rPr>
          <w:rFonts w:asciiTheme="majorBidi" w:hAnsiTheme="majorBidi" w:cstheme="majorBidi"/>
          <w:sz w:val="22"/>
          <w:szCs w:val="22"/>
          <w:lang w:val="pl-PL"/>
        </w:rPr>
        <w:t xml:space="preserve">Zapytanie do Załącznika nr 1 A Zestawienie asortymentu koniecznego do wykonania badań  (ilościowo – wartościowe). </w:t>
      </w:r>
    </w:p>
    <w:p w:rsidR="00985040" w:rsidRDefault="00985040" w:rsidP="00985040">
      <w:pPr>
        <w:rPr>
          <w:rFonts w:asciiTheme="majorBidi" w:hAnsiTheme="majorBidi" w:cstheme="majorBidi"/>
          <w:sz w:val="22"/>
          <w:szCs w:val="22"/>
          <w:lang w:val="pl-PL"/>
        </w:rPr>
      </w:pPr>
    </w:p>
    <w:p w:rsidR="00985040" w:rsidRDefault="00985040" w:rsidP="00985040">
      <w:pPr>
        <w:pStyle w:val="Akapitzlist"/>
        <w:rPr>
          <w:rFonts w:asciiTheme="majorBidi" w:hAnsiTheme="majorBidi" w:cstheme="majorBidi"/>
          <w:sz w:val="22"/>
          <w:szCs w:val="22"/>
          <w:lang w:val="pl-PL"/>
        </w:rPr>
      </w:pPr>
      <w:r>
        <w:rPr>
          <w:rFonts w:asciiTheme="majorBidi" w:hAnsiTheme="majorBidi" w:cstheme="majorBidi"/>
          <w:sz w:val="22"/>
          <w:szCs w:val="22"/>
          <w:lang w:val="pl-PL"/>
        </w:rPr>
        <w:t xml:space="preserve">Prosimy o podanie schematu </w:t>
      </w:r>
      <w:proofErr w:type="spellStart"/>
      <w:r>
        <w:rPr>
          <w:rFonts w:asciiTheme="majorBidi" w:hAnsiTheme="majorBidi" w:cstheme="majorBidi"/>
          <w:sz w:val="22"/>
          <w:szCs w:val="22"/>
          <w:lang w:val="pl-PL"/>
        </w:rPr>
        <w:t>codzinnej</w:t>
      </w:r>
      <w:proofErr w:type="spellEnd"/>
      <w:r>
        <w:rPr>
          <w:rFonts w:asciiTheme="majorBidi" w:hAnsiTheme="majorBidi" w:cstheme="majorBidi"/>
          <w:sz w:val="22"/>
          <w:szCs w:val="22"/>
          <w:lang w:val="pl-PL"/>
        </w:rPr>
        <w:t xml:space="preserve"> kontroli jakości: jakie karty i z jaką częstotliwością są kontrolowane przez  Zamawiającego.</w:t>
      </w:r>
    </w:p>
    <w:p w:rsidR="00985040" w:rsidRDefault="00985040" w:rsidP="00985040">
      <w:pPr>
        <w:rPr>
          <w:rFonts w:asciiTheme="majorBidi" w:hAnsiTheme="majorBidi" w:cstheme="majorBidi"/>
          <w:sz w:val="22"/>
          <w:szCs w:val="22"/>
          <w:lang w:val="pl-PL"/>
        </w:rPr>
      </w:pPr>
    </w:p>
    <w:p w:rsidR="00985040" w:rsidRDefault="00985040" w:rsidP="00985040">
      <w:pPr>
        <w:pStyle w:val="Akapitzlist"/>
        <w:numPr>
          <w:ilvl w:val="0"/>
          <w:numId w:val="1"/>
        </w:numPr>
        <w:rPr>
          <w:rFonts w:asciiTheme="majorBidi" w:hAnsiTheme="majorBidi" w:cstheme="majorBidi"/>
          <w:sz w:val="22"/>
          <w:szCs w:val="22"/>
          <w:lang w:val="pl-PL"/>
        </w:rPr>
      </w:pPr>
      <w:r>
        <w:rPr>
          <w:rFonts w:asciiTheme="majorBidi" w:hAnsiTheme="majorBidi" w:cstheme="majorBidi"/>
          <w:sz w:val="22"/>
          <w:szCs w:val="22"/>
          <w:lang w:val="pl-PL"/>
        </w:rPr>
        <w:t xml:space="preserve">Zapytanie do Załącznika nr 1 A Zestawienie asortymentu koniecznego do wykonania badań  (ilościowo – wartościowe). </w:t>
      </w:r>
    </w:p>
    <w:p w:rsidR="00985040" w:rsidRDefault="00985040" w:rsidP="00985040">
      <w:pPr>
        <w:pStyle w:val="Akapitzlist"/>
        <w:rPr>
          <w:rFonts w:asciiTheme="majorBidi" w:hAnsiTheme="majorBidi" w:cstheme="majorBidi"/>
          <w:noProof/>
          <w:color w:val="000000"/>
          <w:sz w:val="22"/>
          <w:szCs w:val="22"/>
          <w:lang w:val="pl-PL"/>
        </w:rPr>
      </w:pPr>
    </w:p>
    <w:p w:rsidR="00985040" w:rsidRDefault="00985040" w:rsidP="00985040">
      <w:pPr>
        <w:pStyle w:val="Akapitzlist"/>
        <w:rPr>
          <w:rFonts w:asciiTheme="majorBidi" w:hAnsiTheme="majorBidi" w:cstheme="majorBidi"/>
          <w:noProof/>
          <w:color w:val="000000"/>
          <w:sz w:val="22"/>
          <w:szCs w:val="22"/>
          <w:lang w:val="pl-PL"/>
        </w:rPr>
      </w:pPr>
      <w:r>
        <w:rPr>
          <w:rFonts w:asciiTheme="majorBidi" w:hAnsiTheme="majorBidi" w:cstheme="majorBidi"/>
          <w:noProof/>
          <w:color w:val="000000"/>
          <w:sz w:val="22"/>
          <w:szCs w:val="22"/>
          <w:lang w:val="pl-PL"/>
        </w:rPr>
        <w:t xml:space="preserve">Czy Zamawiający dopuści modyfikację Załącznika 1 A, w celu uwzględnienia wszystkich niezbędnych odczynników do wykonywania wyspecyfikowanych w tabeli badań (m. in. krwinki wzorcowe, ilości kart na kontrolę codzienną)? </w:t>
      </w:r>
    </w:p>
    <w:p w:rsidR="00985040" w:rsidRDefault="00985040" w:rsidP="00985040">
      <w:pPr>
        <w:pStyle w:val="Akapitzlist"/>
        <w:rPr>
          <w:rFonts w:asciiTheme="majorBidi" w:hAnsiTheme="majorBidi" w:cstheme="majorBidi"/>
          <w:noProof/>
          <w:color w:val="000000"/>
          <w:sz w:val="22"/>
          <w:szCs w:val="22"/>
          <w:lang w:val="pl-PL"/>
        </w:rPr>
      </w:pPr>
    </w:p>
    <w:p w:rsidR="00985040" w:rsidRDefault="00985040" w:rsidP="00985040">
      <w:pPr>
        <w:pStyle w:val="Akapitzlist"/>
        <w:numPr>
          <w:ilvl w:val="0"/>
          <w:numId w:val="1"/>
        </w:numPr>
        <w:rPr>
          <w:rFonts w:asciiTheme="majorBidi" w:hAnsiTheme="majorBidi" w:cstheme="majorBidi"/>
          <w:sz w:val="22"/>
          <w:szCs w:val="22"/>
          <w:lang w:val="pl-PL"/>
        </w:rPr>
      </w:pPr>
      <w:r>
        <w:rPr>
          <w:rFonts w:asciiTheme="majorBidi" w:hAnsiTheme="majorBidi" w:cstheme="majorBidi"/>
          <w:sz w:val="22"/>
          <w:szCs w:val="22"/>
          <w:lang w:val="pl-PL"/>
        </w:rPr>
        <w:t xml:space="preserve">Zapytanie do Załącznika nr 1 A Zestawienie asortymentu koniecznego do wykonania badań  (ilościowo – wartościowe), wiersz 2: </w:t>
      </w:r>
      <w:r>
        <w:rPr>
          <w:rFonts w:asciiTheme="majorBidi" w:hAnsiTheme="majorBidi" w:cstheme="majorBidi"/>
          <w:i/>
          <w:sz w:val="22"/>
          <w:szCs w:val="22"/>
          <w:lang w:val="pl-PL"/>
        </w:rPr>
        <w:t xml:space="preserve">II Oznaczenie Antygeny grupowe układu ABO, </w:t>
      </w:r>
      <w:proofErr w:type="spellStart"/>
      <w:r>
        <w:rPr>
          <w:rFonts w:asciiTheme="majorBidi" w:hAnsiTheme="majorBidi" w:cstheme="majorBidi"/>
          <w:i/>
          <w:sz w:val="22"/>
          <w:szCs w:val="22"/>
          <w:lang w:val="pl-PL"/>
        </w:rPr>
        <w:t>RhD</w:t>
      </w:r>
      <w:proofErr w:type="spellEnd"/>
      <w:r>
        <w:rPr>
          <w:rFonts w:asciiTheme="majorBidi" w:hAnsiTheme="majorBidi" w:cstheme="majorBidi"/>
          <w:sz w:val="22"/>
          <w:szCs w:val="22"/>
          <w:lang w:val="pl-PL"/>
        </w:rPr>
        <w:t xml:space="preserve"> </w:t>
      </w:r>
    </w:p>
    <w:p w:rsidR="00985040" w:rsidRDefault="00985040" w:rsidP="00985040">
      <w:pPr>
        <w:pStyle w:val="Akapitzlist"/>
        <w:rPr>
          <w:rFonts w:asciiTheme="majorBidi" w:hAnsiTheme="majorBidi" w:cstheme="majorBidi"/>
          <w:sz w:val="22"/>
          <w:szCs w:val="22"/>
          <w:lang w:val="pl-PL"/>
        </w:rPr>
      </w:pPr>
    </w:p>
    <w:p w:rsidR="00985040" w:rsidRDefault="00985040" w:rsidP="00985040">
      <w:pPr>
        <w:pStyle w:val="Akapitzlist"/>
        <w:rPr>
          <w:rFonts w:asciiTheme="majorBidi" w:hAnsiTheme="majorBidi" w:cstheme="majorBidi"/>
          <w:sz w:val="22"/>
          <w:szCs w:val="22"/>
          <w:lang w:val="pl-PL"/>
        </w:rPr>
      </w:pPr>
      <w:r>
        <w:rPr>
          <w:rFonts w:asciiTheme="majorBidi" w:hAnsiTheme="majorBidi" w:cstheme="majorBidi"/>
          <w:sz w:val="22"/>
          <w:szCs w:val="22"/>
          <w:lang w:val="pl-PL"/>
        </w:rPr>
        <w:t>Prosimy o potwierdzenie, że Zamawiający omyłkowo wpisał oznaczenie, które jest obowiązkowe przy wykonywaniu wyspecyfikowanych badań metodą manualną.</w:t>
      </w:r>
    </w:p>
    <w:p w:rsidR="00985040" w:rsidRDefault="00985040" w:rsidP="00985040">
      <w:pPr>
        <w:pStyle w:val="Akapitzlist"/>
        <w:rPr>
          <w:rFonts w:asciiTheme="majorBidi" w:hAnsiTheme="majorBidi" w:cstheme="majorBidi"/>
          <w:sz w:val="22"/>
          <w:szCs w:val="22"/>
          <w:lang w:val="pl-PL"/>
        </w:rPr>
      </w:pPr>
    </w:p>
    <w:p w:rsidR="00985040" w:rsidRDefault="00985040" w:rsidP="00985040">
      <w:pPr>
        <w:pStyle w:val="Akapitzlist"/>
        <w:numPr>
          <w:ilvl w:val="0"/>
          <w:numId w:val="1"/>
        </w:numPr>
        <w:rPr>
          <w:rFonts w:asciiTheme="majorBidi" w:hAnsiTheme="majorBidi" w:cstheme="majorBidi"/>
          <w:sz w:val="22"/>
          <w:szCs w:val="22"/>
          <w:lang w:val="pl-PL"/>
        </w:rPr>
      </w:pPr>
      <w:r>
        <w:rPr>
          <w:rFonts w:asciiTheme="majorBidi" w:hAnsiTheme="majorBidi" w:cstheme="majorBidi"/>
          <w:sz w:val="22"/>
          <w:szCs w:val="22"/>
          <w:lang w:val="pl-PL"/>
        </w:rPr>
        <w:t xml:space="preserve">Zapytanie do Załącznika nr 1 A Zestawienie asortymentu koniecznego do wykonania badań  (ilościowo – wartościowe), wiersz 4, 5: </w:t>
      </w:r>
      <w:r>
        <w:rPr>
          <w:rFonts w:asciiTheme="majorBidi" w:hAnsiTheme="majorBidi" w:cstheme="majorBidi"/>
          <w:i/>
          <w:sz w:val="22"/>
          <w:szCs w:val="22"/>
          <w:lang w:val="pl-PL"/>
        </w:rPr>
        <w:t>Próba krzyżowa dawcy</w:t>
      </w:r>
    </w:p>
    <w:p w:rsidR="00985040" w:rsidRDefault="00985040" w:rsidP="00985040">
      <w:pPr>
        <w:pStyle w:val="Akapitzlist"/>
        <w:rPr>
          <w:rFonts w:asciiTheme="majorBidi" w:hAnsiTheme="majorBidi" w:cstheme="majorBidi"/>
          <w:sz w:val="22"/>
          <w:szCs w:val="22"/>
          <w:lang w:val="pl-PL"/>
        </w:rPr>
      </w:pPr>
    </w:p>
    <w:p w:rsidR="00985040" w:rsidRDefault="00985040" w:rsidP="00985040">
      <w:pPr>
        <w:pStyle w:val="Akapitzlist"/>
        <w:rPr>
          <w:rFonts w:asciiTheme="majorBidi" w:hAnsiTheme="majorBidi" w:cstheme="majorBidi"/>
          <w:i/>
          <w:sz w:val="22"/>
          <w:szCs w:val="22"/>
          <w:lang w:val="pl-PL"/>
        </w:rPr>
      </w:pPr>
      <w:r>
        <w:rPr>
          <w:rFonts w:asciiTheme="majorBidi" w:hAnsiTheme="majorBidi" w:cstheme="majorBidi"/>
          <w:sz w:val="22"/>
          <w:szCs w:val="22"/>
          <w:lang w:val="pl-PL"/>
        </w:rPr>
        <w:t xml:space="preserve">Prosimy o potwierdzenie, że Zamawiający miał na myśli </w:t>
      </w:r>
      <w:r>
        <w:rPr>
          <w:rFonts w:asciiTheme="majorBidi" w:hAnsiTheme="majorBidi" w:cstheme="majorBidi"/>
          <w:i/>
          <w:sz w:val="22"/>
          <w:szCs w:val="22"/>
          <w:lang w:val="pl-PL"/>
        </w:rPr>
        <w:t>Próba krzyżowa biorcy</w:t>
      </w:r>
      <w:r>
        <w:rPr>
          <w:rFonts w:asciiTheme="majorBidi" w:hAnsiTheme="majorBidi" w:cstheme="majorBidi"/>
          <w:sz w:val="22"/>
          <w:szCs w:val="22"/>
          <w:lang w:val="pl-PL"/>
        </w:rPr>
        <w:t>, a wyspecyfikowane badania</w:t>
      </w:r>
      <w:r>
        <w:rPr>
          <w:rFonts w:asciiTheme="majorBidi" w:hAnsiTheme="majorBidi" w:cstheme="majorBidi"/>
          <w:i/>
          <w:sz w:val="22"/>
          <w:szCs w:val="22"/>
          <w:lang w:val="pl-PL"/>
        </w:rPr>
        <w:t xml:space="preserve">: Kontrola antygenów ABO i </w:t>
      </w:r>
      <w:proofErr w:type="spellStart"/>
      <w:r>
        <w:rPr>
          <w:rFonts w:asciiTheme="majorBidi" w:hAnsiTheme="majorBidi" w:cstheme="majorBidi"/>
          <w:i/>
          <w:sz w:val="22"/>
          <w:szCs w:val="22"/>
          <w:lang w:val="pl-PL"/>
        </w:rPr>
        <w:t>RhD</w:t>
      </w:r>
      <w:proofErr w:type="spellEnd"/>
      <w:r>
        <w:rPr>
          <w:rFonts w:asciiTheme="majorBidi" w:hAnsiTheme="majorBidi" w:cstheme="majorBidi"/>
          <w:sz w:val="22"/>
          <w:szCs w:val="22"/>
          <w:lang w:val="pl-PL"/>
        </w:rPr>
        <w:t xml:space="preserve"> i </w:t>
      </w:r>
      <w:r>
        <w:rPr>
          <w:rFonts w:asciiTheme="majorBidi" w:hAnsiTheme="majorBidi" w:cstheme="majorBidi"/>
          <w:i/>
          <w:sz w:val="22"/>
          <w:szCs w:val="22"/>
          <w:lang w:val="pl-PL"/>
        </w:rPr>
        <w:t xml:space="preserve">Badanie przeglądowe w kierunku obecności </w:t>
      </w:r>
      <w:proofErr w:type="spellStart"/>
      <w:r>
        <w:rPr>
          <w:rFonts w:asciiTheme="majorBidi" w:hAnsiTheme="majorBidi" w:cstheme="majorBidi"/>
          <w:i/>
          <w:sz w:val="22"/>
          <w:szCs w:val="22"/>
          <w:lang w:val="pl-PL"/>
        </w:rPr>
        <w:t>alloprzeciwciał</w:t>
      </w:r>
      <w:proofErr w:type="spellEnd"/>
      <w:r>
        <w:rPr>
          <w:rFonts w:asciiTheme="majorBidi" w:hAnsiTheme="majorBidi" w:cstheme="majorBidi"/>
          <w:i/>
          <w:sz w:val="22"/>
          <w:szCs w:val="22"/>
          <w:lang w:val="pl-PL"/>
        </w:rPr>
        <w:t xml:space="preserve"> odpornościowych </w:t>
      </w:r>
      <w:r>
        <w:rPr>
          <w:rFonts w:asciiTheme="majorBidi" w:hAnsiTheme="majorBidi" w:cstheme="majorBidi"/>
          <w:sz w:val="22"/>
          <w:szCs w:val="22"/>
          <w:lang w:val="pl-PL"/>
        </w:rPr>
        <w:t>dotyczą biorców</w:t>
      </w:r>
      <w:r>
        <w:rPr>
          <w:rFonts w:asciiTheme="majorBidi" w:hAnsiTheme="majorBidi" w:cstheme="majorBidi"/>
          <w:i/>
          <w:sz w:val="22"/>
          <w:szCs w:val="22"/>
          <w:lang w:val="pl-PL"/>
        </w:rPr>
        <w:t>.</w:t>
      </w:r>
    </w:p>
    <w:p w:rsidR="00985040" w:rsidRDefault="00985040" w:rsidP="00985040">
      <w:pPr>
        <w:pStyle w:val="Akapitzlist"/>
        <w:rPr>
          <w:rFonts w:asciiTheme="majorBidi" w:hAnsiTheme="majorBidi" w:cstheme="majorBidi"/>
          <w:noProof/>
          <w:color w:val="000000"/>
          <w:sz w:val="22"/>
          <w:szCs w:val="22"/>
          <w:lang w:val="pl-PL"/>
        </w:rPr>
      </w:pPr>
    </w:p>
    <w:p w:rsidR="00985040" w:rsidRDefault="00985040" w:rsidP="00985040">
      <w:pPr>
        <w:pStyle w:val="Akapitzlist"/>
        <w:numPr>
          <w:ilvl w:val="0"/>
          <w:numId w:val="1"/>
        </w:numPr>
        <w:rPr>
          <w:rFonts w:asciiTheme="majorBidi" w:hAnsiTheme="majorBidi" w:cstheme="majorBidi"/>
          <w:sz w:val="22"/>
          <w:szCs w:val="22"/>
          <w:lang w:val="pl-PL"/>
        </w:rPr>
      </w:pPr>
      <w:r>
        <w:rPr>
          <w:rFonts w:asciiTheme="majorBidi" w:hAnsiTheme="majorBidi" w:cstheme="majorBidi"/>
          <w:sz w:val="22"/>
          <w:szCs w:val="22"/>
          <w:lang w:val="pl-PL"/>
        </w:rPr>
        <w:t xml:space="preserve">Zapytanie do Załącznika nr 1 A Zestawienie asortymentu koniecznego do wykonania badań  (ilościowo – wartościowe), wiersz 13: </w:t>
      </w:r>
      <w:r>
        <w:rPr>
          <w:rFonts w:asciiTheme="majorBidi" w:hAnsiTheme="majorBidi" w:cstheme="majorBidi"/>
          <w:i/>
          <w:sz w:val="22"/>
          <w:szCs w:val="22"/>
          <w:lang w:val="pl-PL"/>
        </w:rPr>
        <w:t>Kasety z żelem obojętnym</w:t>
      </w:r>
    </w:p>
    <w:p w:rsidR="00985040" w:rsidRDefault="00985040" w:rsidP="00985040">
      <w:pPr>
        <w:pStyle w:val="Akapitzlist"/>
        <w:rPr>
          <w:rFonts w:asciiTheme="majorBidi" w:hAnsiTheme="majorBidi" w:cstheme="majorBidi"/>
          <w:sz w:val="22"/>
          <w:szCs w:val="22"/>
          <w:lang w:val="pl-PL"/>
        </w:rPr>
      </w:pPr>
    </w:p>
    <w:p w:rsidR="00985040" w:rsidRDefault="00985040" w:rsidP="00985040">
      <w:pPr>
        <w:pStyle w:val="Akapitzlist"/>
        <w:rPr>
          <w:rFonts w:asciiTheme="majorBidi" w:hAnsiTheme="majorBidi" w:cstheme="majorBidi"/>
          <w:sz w:val="22"/>
          <w:szCs w:val="22"/>
          <w:lang w:val="pl-PL"/>
        </w:rPr>
      </w:pPr>
      <w:r>
        <w:rPr>
          <w:rFonts w:asciiTheme="majorBidi" w:hAnsiTheme="majorBidi" w:cstheme="majorBidi"/>
          <w:sz w:val="22"/>
          <w:szCs w:val="22"/>
          <w:lang w:val="pl-PL"/>
        </w:rPr>
        <w:t>Prosimy o doprecyzowanie jakie badania i w jakich ilościach kolumn Zamawiający zamierza wykonywać? Doprecyzowanie jakie badania i w jakich ilościach kolumn jest niezbędne do zaoferowania odpowiedniej ilości odczynników niezbędnych do prawidłowego wykonania badania.</w:t>
      </w:r>
    </w:p>
    <w:p w:rsidR="00985040" w:rsidRDefault="00985040" w:rsidP="00985040">
      <w:pPr>
        <w:pStyle w:val="Akapitzlist"/>
        <w:rPr>
          <w:rFonts w:asciiTheme="majorBidi" w:hAnsiTheme="majorBidi" w:cstheme="majorBidi"/>
          <w:sz w:val="22"/>
          <w:szCs w:val="22"/>
          <w:lang w:val="pl-PL"/>
        </w:rPr>
      </w:pPr>
    </w:p>
    <w:p w:rsidR="00985040" w:rsidRDefault="00985040" w:rsidP="00985040">
      <w:pPr>
        <w:pStyle w:val="Akapitzlist"/>
        <w:numPr>
          <w:ilvl w:val="0"/>
          <w:numId w:val="1"/>
        </w:numPr>
        <w:rPr>
          <w:rFonts w:asciiTheme="majorBidi" w:hAnsiTheme="majorBidi" w:cstheme="majorBidi"/>
          <w:i/>
          <w:sz w:val="22"/>
          <w:szCs w:val="22"/>
          <w:lang w:val="pl-PL"/>
        </w:rPr>
      </w:pPr>
      <w:r>
        <w:rPr>
          <w:rFonts w:asciiTheme="majorBidi" w:hAnsiTheme="majorBidi" w:cstheme="majorBidi"/>
          <w:sz w:val="22"/>
          <w:szCs w:val="22"/>
          <w:lang w:val="pl-PL"/>
        </w:rPr>
        <w:t>Zapytanie do Załącznika nr 1, II Odczynniki oraz warunki ich dostawy, pkt. 5</w:t>
      </w:r>
      <w:r>
        <w:rPr>
          <w:rFonts w:asciiTheme="majorBidi" w:hAnsiTheme="majorBidi" w:cstheme="majorBidi"/>
          <w:i/>
          <w:sz w:val="22"/>
          <w:szCs w:val="22"/>
          <w:lang w:val="pl-PL"/>
        </w:rPr>
        <w:t>: Karty do oznaczeń grup krwi zawierają kolumnę z kontrolą wewnętrzną.</w:t>
      </w:r>
    </w:p>
    <w:p w:rsidR="00985040" w:rsidRDefault="00985040" w:rsidP="00985040">
      <w:pPr>
        <w:pStyle w:val="Akapitzlist"/>
        <w:rPr>
          <w:rFonts w:asciiTheme="majorBidi" w:hAnsiTheme="majorBidi" w:cstheme="majorBidi"/>
          <w:sz w:val="22"/>
          <w:szCs w:val="22"/>
          <w:lang w:val="pl-PL"/>
        </w:rPr>
      </w:pPr>
    </w:p>
    <w:p w:rsidR="00985040" w:rsidRDefault="00985040" w:rsidP="00985040">
      <w:pPr>
        <w:pStyle w:val="Akapitzlist"/>
        <w:tabs>
          <w:tab w:val="left" w:pos="6660"/>
        </w:tabs>
        <w:rPr>
          <w:rFonts w:asciiTheme="majorBidi" w:hAnsiTheme="majorBidi" w:cstheme="majorBidi"/>
          <w:sz w:val="22"/>
          <w:szCs w:val="22"/>
          <w:lang w:val="pl-PL"/>
        </w:rPr>
      </w:pPr>
      <w:r>
        <w:rPr>
          <w:rFonts w:asciiTheme="majorBidi" w:hAnsiTheme="majorBidi" w:cstheme="majorBidi"/>
          <w:sz w:val="22"/>
          <w:szCs w:val="22"/>
          <w:lang w:val="pl-PL"/>
        </w:rPr>
        <w:t xml:space="preserve">Prosimy o potwierdzenie, że zapis dotyczy wszystkich kart do oznaczania grup krwi: oznaczania </w:t>
      </w:r>
      <w:proofErr w:type="spellStart"/>
      <w:r>
        <w:rPr>
          <w:rFonts w:asciiTheme="majorBidi" w:hAnsiTheme="majorBidi" w:cstheme="majorBidi"/>
          <w:sz w:val="22"/>
          <w:szCs w:val="22"/>
          <w:lang w:val="pl-PL"/>
        </w:rPr>
        <w:t>gupy</w:t>
      </w:r>
      <w:proofErr w:type="spellEnd"/>
      <w:r>
        <w:rPr>
          <w:rFonts w:asciiTheme="majorBidi" w:hAnsiTheme="majorBidi" w:cstheme="majorBidi"/>
          <w:sz w:val="22"/>
          <w:szCs w:val="22"/>
          <w:lang w:val="pl-PL"/>
        </w:rPr>
        <w:t xml:space="preserve"> krwi dorosłych, noworodków oraz kart do potwierdzania grup krwi biorców i dawców przy próbie krzyżowej.</w:t>
      </w:r>
    </w:p>
    <w:p w:rsidR="00985040" w:rsidRDefault="00985040" w:rsidP="00985040">
      <w:pPr>
        <w:pStyle w:val="Akapitzlist"/>
        <w:tabs>
          <w:tab w:val="left" w:pos="6660"/>
        </w:tabs>
        <w:rPr>
          <w:rFonts w:asciiTheme="majorBidi" w:hAnsiTheme="majorBidi" w:cstheme="majorBidi"/>
          <w:sz w:val="22"/>
          <w:szCs w:val="22"/>
          <w:lang w:val="pl-PL"/>
        </w:rPr>
      </w:pPr>
    </w:p>
    <w:p w:rsidR="00985040" w:rsidRDefault="00985040" w:rsidP="00985040">
      <w:pPr>
        <w:pStyle w:val="Akapitzlist"/>
        <w:numPr>
          <w:ilvl w:val="0"/>
          <w:numId w:val="1"/>
        </w:numPr>
        <w:rPr>
          <w:rFonts w:asciiTheme="majorBidi" w:hAnsiTheme="majorBidi" w:cstheme="majorBidi"/>
          <w:i/>
          <w:sz w:val="22"/>
          <w:szCs w:val="22"/>
          <w:lang w:val="pl-PL"/>
        </w:rPr>
      </w:pPr>
      <w:r>
        <w:rPr>
          <w:rFonts w:asciiTheme="majorBidi" w:hAnsiTheme="majorBidi" w:cstheme="majorBidi"/>
          <w:sz w:val="22"/>
          <w:szCs w:val="22"/>
          <w:lang w:val="pl-PL"/>
        </w:rPr>
        <w:t>Zapytanie do Załącznika nr 1, II Odczynniki oraz warunki ich dostawy, pkt. 18</w:t>
      </w:r>
      <w:r>
        <w:rPr>
          <w:rFonts w:asciiTheme="majorBidi" w:hAnsiTheme="majorBidi" w:cstheme="majorBidi"/>
          <w:i/>
          <w:sz w:val="22"/>
          <w:szCs w:val="22"/>
          <w:lang w:val="pl-PL"/>
        </w:rPr>
        <w:t>: .....</w:t>
      </w:r>
      <w:r>
        <w:rPr>
          <w:rFonts w:asciiTheme="majorBidi" w:hAnsiTheme="majorBidi" w:cstheme="majorBidi"/>
          <w:color w:val="FF0000"/>
          <w:sz w:val="22"/>
          <w:szCs w:val="22"/>
          <w:lang w:val="pl-PL"/>
        </w:rPr>
        <w:t xml:space="preserve"> </w:t>
      </w:r>
      <w:r>
        <w:rPr>
          <w:rFonts w:asciiTheme="majorBidi" w:hAnsiTheme="majorBidi" w:cstheme="majorBidi"/>
          <w:i/>
          <w:sz w:val="22"/>
          <w:szCs w:val="22"/>
          <w:lang w:val="pl-PL"/>
        </w:rPr>
        <w:t>Metoda systemu manualnego kompatybilna z metodą używaną w analizatorze (odczynniki, metodyka).</w:t>
      </w:r>
    </w:p>
    <w:p w:rsidR="00985040" w:rsidRDefault="00985040" w:rsidP="00985040">
      <w:pPr>
        <w:pStyle w:val="Akapitzlist"/>
        <w:tabs>
          <w:tab w:val="left" w:pos="6660"/>
        </w:tabs>
        <w:rPr>
          <w:rFonts w:asciiTheme="majorBidi" w:hAnsiTheme="majorBidi" w:cstheme="majorBidi"/>
          <w:sz w:val="22"/>
          <w:szCs w:val="22"/>
          <w:lang w:val="pl-PL"/>
        </w:rPr>
      </w:pPr>
    </w:p>
    <w:p w:rsidR="00985040" w:rsidRDefault="00985040" w:rsidP="00985040">
      <w:pPr>
        <w:pStyle w:val="Akapitzlist"/>
        <w:tabs>
          <w:tab w:val="left" w:pos="6660"/>
        </w:tabs>
        <w:rPr>
          <w:rFonts w:asciiTheme="majorBidi" w:hAnsiTheme="majorBidi" w:cstheme="majorBidi"/>
          <w:sz w:val="22"/>
          <w:szCs w:val="22"/>
          <w:lang w:val="pl-PL"/>
        </w:rPr>
      </w:pPr>
      <w:r>
        <w:rPr>
          <w:rFonts w:asciiTheme="majorBidi" w:hAnsiTheme="majorBidi" w:cstheme="majorBidi"/>
          <w:sz w:val="22"/>
          <w:szCs w:val="22"/>
          <w:lang w:val="pl-PL"/>
        </w:rPr>
        <w:t xml:space="preserve">Czy Zamawiający wymaga, aby wszystkie stosowane odczynniki zarówno w metodzie automatycznej jak i manualnej były uniwersalne, tzn. metodyka wykonania badania oraz sposób konfekcjonowania płynów oraz </w:t>
      </w:r>
      <w:proofErr w:type="spellStart"/>
      <w:r>
        <w:rPr>
          <w:rFonts w:asciiTheme="majorBidi" w:hAnsiTheme="majorBidi" w:cstheme="majorBidi"/>
          <w:sz w:val="22"/>
          <w:szCs w:val="22"/>
          <w:lang w:val="pl-PL"/>
        </w:rPr>
        <w:t>diluentów</w:t>
      </w:r>
      <w:proofErr w:type="spellEnd"/>
      <w:r>
        <w:rPr>
          <w:rFonts w:asciiTheme="majorBidi" w:hAnsiTheme="majorBidi" w:cstheme="majorBidi"/>
          <w:sz w:val="22"/>
          <w:szCs w:val="22"/>
          <w:lang w:val="pl-PL"/>
        </w:rPr>
        <w:t>, a także materiałów zużywalnych były takie same (ta sama pozycja w formularzu asortymentowo – cenowym)?</w:t>
      </w:r>
    </w:p>
    <w:p w:rsidR="00985040" w:rsidRDefault="00985040" w:rsidP="00985040">
      <w:pPr>
        <w:pStyle w:val="Akapitzlist"/>
        <w:tabs>
          <w:tab w:val="left" w:pos="6660"/>
        </w:tabs>
        <w:rPr>
          <w:rFonts w:asciiTheme="majorBidi" w:hAnsiTheme="majorBidi" w:cstheme="majorBidi"/>
          <w:sz w:val="22"/>
          <w:szCs w:val="22"/>
          <w:lang w:val="pl-PL"/>
        </w:rPr>
      </w:pPr>
    </w:p>
    <w:p w:rsidR="00985040" w:rsidRDefault="00985040" w:rsidP="00985040">
      <w:pPr>
        <w:rPr>
          <w:rFonts w:asciiTheme="majorBidi" w:hAnsiTheme="majorBidi" w:cstheme="majorBidi"/>
          <w:sz w:val="22"/>
          <w:szCs w:val="22"/>
          <w:lang w:val="pl-PL"/>
        </w:rPr>
      </w:pPr>
    </w:p>
    <w:p w:rsidR="00985040" w:rsidRDefault="00985040" w:rsidP="00985040">
      <w:pPr>
        <w:pStyle w:val="Akapitzlist"/>
        <w:numPr>
          <w:ilvl w:val="0"/>
          <w:numId w:val="1"/>
        </w:numPr>
        <w:jc w:val="both"/>
        <w:rPr>
          <w:rFonts w:asciiTheme="majorBidi" w:hAnsiTheme="majorBidi" w:cstheme="majorBidi"/>
          <w:i/>
          <w:iCs/>
          <w:sz w:val="22"/>
          <w:szCs w:val="22"/>
          <w:lang w:val="pl-PL"/>
        </w:rPr>
      </w:pPr>
      <w:r>
        <w:rPr>
          <w:rFonts w:asciiTheme="majorBidi" w:hAnsiTheme="majorBidi" w:cstheme="majorBidi"/>
          <w:sz w:val="22"/>
          <w:szCs w:val="22"/>
          <w:lang w:val="pl-PL"/>
        </w:rPr>
        <w:lastRenderedPageBreak/>
        <w:t xml:space="preserve">W treści Załącznika nr 1 do SIWZ, Zamawiający zawarł zastrzeżenie następującej treści: </w:t>
      </w:r>
      <w:r>
        <w:rPr>
          <w:rFonts w:asciiTheme="majorBidi" w:hAnsiTheme="majorBidi" w:cstheme="majorBidi"/>
          <w:i/>
          <w:iCs/>
          <w:sz w:val="22"/>
          <w:szCs w:val="22"/>
          <w:lang w:val="pl-PL"/>
        </w:rPr>
        <w:t>„Nieuwzględnienie w zestawieniu jakiegokolwiek asortymentu lub zaniżenie ilości będzie uprawniało Zamawiającego, w przypadku wyboru oferty jako najkorzystniejszej  i zawarcia umowy z Wykonawcą do żądania dostaw bez ponoszenia dodatkowych kosztów w celu wykonania założonej ilości badań.”</w:t>
      </w:r>
    </w:p>
    <w:p w:rsidR="00985040" w:rsidRDefault="00985040" w:rsidP="00985040">
      <w:pPr>
        <w:ind w:firstLine="65"/>
        <w:jc w:val="both"/>
        <w:rPr>
          <w:rFonts w:asciiTheme="majorBidi" w:hAnsiTheme="majorBidi" w:cstheme="majorBidi"/>
          <w:i/>
          <w:iCs/>
          <w:sz w:val="22"/>
          <w:szCs w:val="22"/>
          <w:lang w:val="pl-PL"/>
        </w:rPr>
      </w:pPr>
    </w:p>
    <w:p w:rsidR="00985040" w:rsidRDefault="00985040" w:rsidP="00985040">
      <w:pPr>
        <w:ind w:left="567"/>
        <w:jc w:val="both"/>
        <w:rPr>
          <w:rFonts w:asciiTheme="majorBidi" w:hAnsiTheme="majorBidi" w:cstheme="majorBidi"/>
          <w:i/>
          <w:iCs/>
          <w:sz w:val="22"/>
          <w:szCs w:val="22"/>
          <w:lang w:val="pl-PL"/>
        </w:rPr>
      </w:pPr>
      <w:r>
        <w:rPr>
          <w:rFonts w:asciiTheme="majorBidi" w:hAnsiTheme="majorBidi" w:cstheme="majorBidi"/>
          <w:sz w:val="22"/>
          <w:szCs w:val="22"/>
          <w:lang w:val="pl-PL"/>
        </w:rPr>
        <w:t xml:space="preserve">Z kolei w Załączniku nr 1A do SIWZ znajduje się kolumna pod nazwą </w:t>
      </w:r>
      <w:r>
        <w:rPr>
          <w:rFonts w:asciiTheme="majorBidi" w:hAnsiTheme="majorBidi" w:cstheme="majorBidi"/>
          <w:i/>
          <w:iCs/>
          <w:sz w:val="22"/>
          <w:szCs w:val="22"/>
          <w:lang w:val="pl-PL"/>
        </w:rPr>
        <w:t>„Ilość opakowań na czas trwania umowy”.</w:t>
      </w:r>
    </w:p>
    <w:p w:rsidR="00985040" w:rsidRDefault="00985040" w:rsidP="00985040">
      <w:pPr>
        <w:ind w:left="567"/>
        <w:jc w:val="both"/>
        <w:rPr>
          <w:rFonts w:asciiTheme="majorBidi" w:hAnsiTheme="majorBidi" w:cstheme="majorBidi"/>
          <w:i/>
          <w:iCs/>
          <w:sz w:val="22"/>
          <w:szCs w:val="22"/>
          <w:lang w:val="pl-PL"/>
        </w:rPr>
      </w:pPr>
    </w:p>
    <w:p w:rsidR="00985040" w:rsidRDefault="00985040" w:rsidP="00985040">
      <w:pPr>
        <w:ind w:left="567"/>
        <w:jc w:val="both"/>
        <w:rPr>
          <w:rFonts w:asciiTheme="majorBidi" w:hAnsiTheme="majorBidi" w:cstheme="majorBidi"/>
          <w:sz w:val="22"/>
          <w:szCs w:val="22"/>
          <w:lang w:val="pl-PL"/>
        </w:rPr>
      </w:pPr>
      <w:r>
        <w:rPr>
          <w:rFonts w:asciiTheme="majorBidi" w:hAnsiTheme="majorBidi" w:cstheme="majorBidi"/>
          <w:sz w:val="22"/>
          <w:szCs w:val="22"/>
          <w:lang w:val="pl-PL"/>
        </w:rPr>
        <w:t xml:space="preserve">W ocenie Wykonawcy tak sformułowane postanowienia Załączników mogą skutkować celowym zaniżaniem ilości asortymentu w celu osiągnięcia korzystniejszej ceny lub pozycji w postępowaniu przetargowym. Wydaje się celowym wprowadzenie do Załącznika nr 1A minimalnej oczekiwanej przez Zamawiającego ilości asortymentu/ilości opakowań na czas trwania umowy w oparciu o wskazane dane, znajdujące się w Załączniku nr 1 do SIWZ. Nie ulega wątpliwości, że opis przedmiotu zamówienia został opisany przez Zamawiającego w sposób jednoznaczny oraz wyczerpujący za pomocą dostatecznie dokładnych i zrozumiałych określeń, uwzględniając wszystkie wymagania i okoliczności mogące mieć wpływ na sporządzenie oferty (art. 29 Prawa zamówień publicznych). W przypadku, w którym dany wykonawca zaoferuje zaniżoną ilość asortymentu/ilość opakowań, to jego oferta powinna zostać odrzucona. Nieuprawnionym naszym zdaniem jest gwarantowanie takiemu wykonawcy wykonanie zamówienia wyłącznie z ryzykiem ponoszenia kosztów jego realizacji, bowiem to na etapie składania i wyboru oferty decydujące znaczenie ma czy oferta spełnia wszystkie wymagania SIWZ oraz czy nie stanowi czynu nieuczciwej konkurencji. </w:t>
      </w:r>
    </w:p>
    <w:p w:rsidR="00985040" w:rsidRDefault="00985040" w:rsidP="00985040">
      <w:pPr>
        <w:ind w:left="567"/>
        <w:jc w:val="both"/>
        <w:rPr>
          <w:rFonts w:asciiTheme="majorBidi" w:hAnsiTheme="majorBidi" w:cstheme="majorBidi"/>
          <w:sz w:val="22"/>
          <w:szCs w:val="22"/>
          <w:lang w:val="pl-PL"/>
        </w:rPr>
      </w:pPr>
    </w:p>
    <w:p w:rsidR="00985040" w:rsidRDefault="00985040" w:rsidP="00985040">
      <w:pPr>
        <w:ind w:left="567"/>
        <w:jc w:val="both"/>
        <w:rPr>
          <w:rFonts w:asciiTheme="majorBidi" w:hAnsiTheme="majorBidi" w:cstheme="majorBidi"/>
          <w:i/>
          <w:iCs/>
          <w:sz w:val="22"/>
          <w:szCs w:val="22"/>
          <w:lang w:val="pl-PL"/>
        </w:rPr>
      </w:pPr>
      <w:r>
        <w:rPr>
          <w:rFonts w:asciiTheme="majorBidi" w:hAnsiTheme="majorBidi" w:cstheme="majorBidi"/>
          <w:sz w:val="22"/>
          <w:szCs w:val="22"/>
          <w:lang w:val="pl-PL"/>
        </w:rPr>
        <w:t xml:space="preserve">W świetle powyższego wnosimy o zmodyfikowanie Załącznika nr 1 oraz 1A poprzez wykreślenie zwrotu </w:t>
      </w:r>
      <w:r>
        <w:rPr>
          <w:rFonts w:asciiTheme="majorBidi" w:hAnsiTheme="majorBidi" w:cstheme="majorBidi"/>
          <w:i/>
          <w:iCs/>
          <w:sz w:val="22"/>
          <w:szCs w:val="22"/>
          <w:lang w:val="pl-PL"/>
        </w:rPr>
        <w:t xml:space="preserve">Nieuwzględnienie w zestawieniu jakiegokolwiek asortymentu lub zaniżenie ilości będzie uprawniało Zamawiającego, w przypadku wyboru oferty jako najkorzystniejszej  i zawarcia umowy z Wykonawcą do żądania dostaw bez ponoszenia dodatkowych kosztów w celu wykonania założonej ilości badań </w:t>
      </w:r>
      <w:r>
        <w:rPr>
          <w:rFonts w:asciiTheme="majorBidi" w:hAnsiTheme="majorBidi" w:cstheme="majorBidi"/>
          <w:sz w:val="22"/>
          <w:szCs w:val="22"/>
          <w:lang w:val="pl-PL"/>
        </w:rPr>
        <w:t xml:space="preserve">oraz dodanie minimalnej ilości opakowań oczekiwanych przez Zamawiającego w treści Załącznika nr 1A. Alternatywnie wnioskujemy o modyfikację treści powyższego zwrotu z Załącznika nr 1 w następujący sposób: </w:t>
      </w:r>
      <w:r>
        <w:rPr>
          <w:rFonts w:asciiTheme="majorBidi" w:hAnsiTheme="majorBidi" w:cstheme="majorBidi"/>
          <w:i/>
          <w:iCs/>
          <w:sz w:val="22"/>
          <w:szCs w:val="22"/>
          <w:lang w:val="pl-PL"/>
        </w:rPr>
        <w:t>Nieuwzględnienie w zestawieniu jakiegokolwiek asortymentu lub zaniżenie ilości w stosunku do minimalnej potrzebnej w celu wykonania założonej ilości badań, będzie skutkowało odrzuceniem oferty wykonawcy na podstawie przepisu art. 89 ust. 1 punkt 2) ustawy Prawo zamówień publicznych.”</w:t>
      </w:r>
    </w:p>
    <w:p w:rsidR="00985040" w:rsidRDefault="00985040" w:rsidP="00985040">
      <w:pPr>
        <w:ind w:left="567"/>
        <w:jc w:val="both"/>
        <w:rPr>
          <w:rFonts w:asciiTheme="majorBidi" w:hAnsiTheme="majorBidi" w:cstheme="majorBidi"/>
          <w:i/>
          <w:iCs/>
          <w:sz w:val="22"/>
          <w:szCs w:val="22"/>
          <w:lang w:val="pl-PL"/>
        </w:rPr>
      </w:pPr>
    </w:p>
    <w:p w:rsidR="00985040" w:rsidRDefault="00985040" w:rsidP="00985040">
      <w:pPr>
        <w:pStyle w:val="Akapitzlist"/>
        <w:numPr>
          <w:ilvl w:val="0"/>
          <w:numId w:val="1"/>
        </w:numPr>
        <w:rPr>
          <w:rFonts w:asciiTheme="majorBidi" w:hAnsiTheme="majorBidi" w:cstheme="majorBidi"/>
          <w:i/>
          <w:sz w:val="22"/>
          <w:szCs w:val="22"/>
          <w:lang w:val="pl-PL"/>
        </w:rPr>
      </w:pPr>
      <w:r>
        <w:rPr>
          <w:rFonts w:asciiTheme="majorBidi" w:hAnsiTheme="majorBidi" w:cstheme="majorBidi"/>
          <w:sz w:val="22"/>
          <w:szCs w:val="22"/>
          <w:lang w:val="pl-PL"/>
        </w:rPr>
        <w:t xml:space="preserve">Zapytanie do Załącznika nr 1, II Wymagania techniczne analizatora oraz serwis, pkt. 4, </w:t>
      </w:r>
      <w:proofErr w:type="spellStart"/>
      <w:r>
        <w:rPr>
          <w:rFonts w:asciiTheme="majorBidi" w:hAnsiTheme="majorBidi" w:cstheme="majorBidi"/>
          <w:sz w:val="22"/>
          <w:szCs w:val="22"/>
          <w:lang w:val="pl-PL"/>
        </w:rPr>
        <w:t>ppkt</w:t>
      </w:r>
      <w:proofErr w:type="spellEnd"/>
      <w:r>
        <w:rPr>
          <w:rFonts w:asciiTheme="majorBidi" w:hAnsiTheme="majorBidi" w:cstheme="majorBidi"/>
          <w:sz w:val="22"/>
          <w:szCs w:val="22"/>
          <w:lang w:val="pl-PL"/>
        </w:rPr>
        <w:t>. 4</w:t>
      </w:r>
      <w:r>
        <w:rPr>
          <w:rFonts w:asciiTheme="majorBidi" w:hAnsiTheme="majorBidi" w:cstheme="majorBidi"/>
          <w:i/>
          <w:sz w:val="22"/>
          <w:szCs w:val="22"/>
          <w:lang w:val="pl-PL"/>
        </w:rPr>
        <w:t>: „brak odpadów stałych pochodzących z procesu rozcieńczenia (kuwety lub inne pojemniki służące do sporządzenia rozcieńczeń próbek)”.</w:t>
      </w:r>
    </w:p>
    <w:p w:rsidR="00985040" w:rsidRDefault="00985040" w:rsidP="00985040">
      <w:pPr>
        <w:pStyle w:val="Akapitzlist"/>
        <w:tabs>
          <w:tab w:val="left" w:pos="6660"/>
        </w:tabs>
        <w:rPr>
          <w:rFonts w:asciiTheme="majorBidi" w:hAnsiTheme="majorBidi" w:cstheme="majorBidi"/>
          <w:sz w:val="22"/>
          <w:szCs w:val="22"/>
          <w:lang w:val="pl-PL"/>
        </w:rPr>
      </w:pPr>
    </w:p>
    <w:p w:rsidR="00985040" w:rsidRDefault="00985040" w:rsidP="00985040">
      <w:pPr>
        <w:pStyle w:val="Akapitzlist"/>
        <w:tabs>
          <w:tab w:val="left" w:pos="6660"/>
        </w:tabs>
        <w:rPr>
          <w:rFonts w:asciiTheme="majorBidi" w:hAnsiTheme="majorBidi" w:cstheme="majorBidi"/>
          <w:sz w:val="22"/>
          <w:szCs w:val="22"/>
          <w:lang w:val="pl-PL"/>
        </w:rPr>
      </w:pPr>
      <w:r>
        <w:rPr>
          <w:rFonts w:asciiTheme="majorBidi" w:hAnsiTheme="majorBidi" w:cstheme="majorBidi"/>
          <w:sz w:val="22"/>
          <w:szCs w:val="22"/>
          <w:lang w:val="pl-PL"/>
        </w:rPr>
        <w:t>Prosimy o potwierdzenie, że zapis nie dotyczy buteleczek, w których konfekcjonowany jest odczynnik do sporządzana  zawiesiny krwinek czerwonych.</w:t>
      </w:r>
    </w:p>
    <w:p w:rsidR="00985040" w:rsidRDefault="00985040" w:rsidP="00985040">
      <w:pPr>
        <w:tabs>
          <w:tab w:val="left" w:pos="975"/>
          <w:tab w:val="left" w:pos="6660"/>
        </w:tabs>
        <w:rPr>
          <w:rFonts w:asciiTheme="majorBidi" w:hAnsiTheme="majorBidi" w:cstheme="majorBidi"/>
          <w:sz w:val="22"/>
          <w:szCs w:val="22"/>
          <w:lang w:val="pl-PL" w:eastAsia="ja-JP"/>
        </w:rPr>
      </w:pPr>
    </w:p>
    <w:p w:rsidR="00985040" w:rsidRDefault="00985040" w:rsidP="00985040">
      <w:pPr>
        <w:pStyle w:val="Akapitzlist"/>
        <w:numPr>
          <w:ilvl w:val="0"/>
          <w:numId w:val="1"/>
        </w:numPr>
        <w:tabs>
          <w:tab w:val="left" w:pos="975"/>
          <w:tab w:val="left" w:pos="6660"/>
        </w:tabs>
        <w:rPr>
          <w:rFonts w:asciiTheme="majorBidi" w:hAnsiTheme="majorBidi" w:cstheme="majorBidi"/>
          <w:sz w:val="22"/>
          <w:szCs w:val="22"/>
          <w:lang w:val="pl-PL"/>
        </w:rPr>
      </w:pPr>
      <w:r>
        <w:rPr>
          <w:rFonts w:asciiTheme="majorBidi" w:hAnsiTheme="majorBidi" w:cstheme="majorBidi"/>
          <w:sz w:val="22"/>
          <w:szCs w:val="22"/>
          <w:lang w:val="pl-PL"/>
        </w:rPr>
        <w:t xml:space="preserve"> Zapytanie do Załącznika nr 1, II Odczynniki oraz warunki ich dostawy, pkt. 9: </w:t>
      </w:r>
      <w:r>
        <w:rPr>
          <w:rFonts w:asciiTheme="majorBidi" w:hAnsiTheme="majorBidi" w:cstheme="majorBidi"/>
          <w:i/>
          <w:sz w:val="22"/>
          <w:szCs w:val="22"/>
          <w:lang w:val="pl-PL"/>
        </w:rPr>
        <w:t xml:space="preserve">Obecność na jednej karcie dodatkowo </w:t>
      </w:r>
      <w:proofErr w:type="spellStart"/>
      <w:r>
        <w:rPr>
          <w:rFonts w:asciiTheme="majorBidi" w:hAnsiTheme="majorBidi" w:cstheme="majorBidi"/>
          <w:i/>
          <w:sz w:val="22"/>
          <w:szCs w:val="22"/>
          <w:lang w:val="pl-PL"/>
        </w:rPr>
        <w:t>mikrokolumn</w:t>
      </w:r>
      <w:proofErr w:type="spellEnd"/>
      <w:r>
        <w:rPr>
          <w:rFonts w:asciiTheme="majorBidi" w:hAnsiTheme="majorBidi" w:cstheme="majorBidi"/>
          <w:i/>
          <w:sz w:val="22"/>
          <w:szCs w:val="22"/>
          <w:lang w:val="pl-PL"/>
        </w:rPr>
        <w:t xml:space="preserve"> (</w:t>
      </w:r>
      <w:proofErr w:type="spellStart"/>
      <w:r>
        <w:rPr>
          <w:rFonts w:asciiTheme="majorBidi" w:hAnsiTheme="majorBidi" w:cstheme="majorBidi"/>
          <w:i/>
          <w:sz w:val="22"/>
          <w:szCs w:val="22"/>
          <w:lang w:val="pl-PL"/>
        </w:rPr>
        <w:t>antyD</w:t>
      </w:r>
      <w:proofErr w:type="spellEnd"/>
      <w:r>
        <w:rPr>
          <w:rFonts w:asciiTheme="majorBidi" w:hAnsiTheme="majorBidi" w:cstheme="majorBidi"/>
          <w:i/>
          <w:sz w:val="22"/>
          <w:szCs w:val="22"/>
          <w:lang w:val="pl-PL"/>
        </w:rPr>
        <w:t xml:space="preserve"> (DVI- i DV+) oraz kolumn do BTA z surowicą </w:t>
      </w:r>
      <w:proofErr w:type="spellStart"/>
      <w:r>
        <w:rPr>
          <w:rFonts w:asciiTheme="majorBidi" w:hAnsiTheme="majorBidi" w:cstheme="majorBidi"/>
          <w:i/>
          <w:sz w:val="22"/>
          <w:szCs w:val="22"/>
          <w:lang w:val="pl-PL"/>
        </w:rPr>
        <w:t>antyglobulinową</w:t>
      </w:r>
      <w:proofErr w:type="spellEnd"/>
      <w:r>
        <w:rPr>
          <w:rFonts w:asciiTheme="majorBidi" w:hAnsiTheme="majorBidi" w:cstheme="majorBidi"/>
          <w:i/>
          <w:sz w:val="22"/>
          <w:szCs w:val="22"/>
          <w:lang w:val="pl-PL"/>
        </w:rPr>
        <w:t xml:space="preserve"> poliwalentną oraz </w:t>
      </w:r>
      <w:proofErr w:type="spellStart"/>
      <w:r>
        <w:rPr>
          <w:rFonts w:asciiTheme="majorBidi" w:hAnsiTheme="majorBidi" w:cstheme="majorBidi"/>
          <w:i/>
          <w:sz w:val="22"/>
          <w:szCs w:val="22"/>
          <w:lang w:val="pl-PL"/>
        </w:rPr>
        <w:t>antyglobulinową</w:t>
      </w:r>
      <w:proofErr w:type="spellEnd"/>
      <w:r>
        <w:rPr>
          <w:rFonts w:asciiTheme="majorBidi" w:hAnsiTheme="majorBidi" w:cstheme="majorBidi"/>
          <w:i/>
          <w:sz w:val="22"/>
          <w:szCs w:val="22"/>
          <w:lang w:val="pl-PL"/>
        </w:rPr>
        <w:t xml:space="preserve"> </w:t>
      </w:r>
      <w:proofErr w:type="spellStart"/>
      <w:r>
        <w:rPr>
          <w:rFonts w:asciiTheme="majorBidi" w:hAnsiTheme="majorBidi" w:cstheme="majorBidi"/>
          <w:i/>
          <w:sz w:val="22"/>
          <w:szCs w:val="22"/>
          <w:lang w:val="pl-PL"/>
        </w:rPr>
        <w:t>monowalentną</w:t>
      </w:r>
      <w:proofErr w:type="spellEnd"/>
      <w:r>
        <w:rPr>
          <w:rFonts w:asciiTheme="majorBidi" w:hAnsiTheme="majorBidi" w:cstheme="majorBidi"/>
          <w:i/>
          <w:sz w:val="22"/>
          <w:szCs w:val="22"/>
          <w:lang w:val="pl-PL"/>
        </w:rPr>
        <w:t xml:space="preserve"> </w:t>
      </w:r>
      <w:proofErr w:type="spellStart"/>
      <w:r>
        <w:rPr>
          <w:rFonts w:asciiTheme="majorBidi" w:hAnsiTheme="majorBidi" w:cstheme="majorBidi"/>
          <w:i/>
          <w:sz w:val="22"/>
          <w:szCs w:val="22"/>
          <w:lang w:val="pl-PL"/>
        </w:rPr>
        <w:t>IgG</w:t>
      </w:r>
      <w:proofErr w:type="spellEnd"/>
    </w:p>
    <w:p w:rsidR="00985040" w:rsidRDefault="00985040" w:rsidP="00985040">
      <w:pPr>
        <w:pStyle w:val="Akapitzlist"/>
        <w:tabs>
          <w:tab w:val="left" w:pos="975"/>
          <w:tab w:val="left" w:pos="6660"/>
        </w:tabs>
        <w:ind w:left="644"/>
        <w:rPr>
          <w:rFonts w:asciiTheme="majorBidi" w:hAnsiTheme="majorBidi" w:cstheme="majorBidi"/>
          <w:sz w:val="22"/>
          <w:szCs w:val="22"/>
          <w:lang w:val="pl-PL"/>
        </w:rPr>
      </w:pPr>
    </w:p>
    <w:p w:rsidR="00985040" w:rsidRDefault="00985040" w:rsidP="00985040">
      <w:pPr>
        <w:pStyle w:val="Akapitzlist"/>
        <w:tabs>
          <w:tab w:val="left" w:pos="975"/>
          <w:tab w:val="left" w:pos="6660"/>
        </w:tabs>
        <w:ind w:left="644"/>
        <w:rPr>
          <w:rFonts w:asciiTheme="majorBidi" w:hAnsiTheme="majorBidi" w:cstheme="majorBidi"/>
          <w:sz w:val="22"/>
          <w:szCs w:val="22"/>
          <w:lang w:val="pl-PL"/>
        </w:rPr>
      </w:pPr>
      <w:r>
        <w:rPr>
          <w:rFonts w:asciiTheme="majorBidi" w:hAnsiTheme="majorBidi" w:cstheme="majorBidi"/>
          <w:sz w:val="22"/>
          <w:szCs w:val="22"/>
          <w:lang w:val="pl-PL"/>
        </w:rPr>
        <w:t>Prosimy o potwierdzenie, że Zamawiający w powyższym zapisie ma na myśli kartę do oznaczania grupy krwi noworodka.</w:t>
      </w:r>
    </w:p>
    <w:p w:rsidR="00985040" w:rsidRDefault="00985040" w:rsidP="00985040">
      <w:pPr>
        <w:pStyle w:val="Akapitzlist"/>
        <w:tabs>
          <w:tab w:val="left" w:pos="975"/>
          <w:tab w:val="left" w:pos="6660"/>
        </w:tabs>
        <w:ind w:left="644"/>
        <w:rPr>
          <w:rFonts w:asciiTheme="majorBidi" w:hAnsiTheme="majorBidi" w:cstheme="majorBidi"/>
          <w:sz w:val="22"/>
          <w:szCs w:val="22"/>
          <w:lang w:val="pl-PL"/>
        </w:rPr>
      </w:pPr>
    </w:p>
    <w:p w:rsidR="008D0B22" w:rsidRDefault="008D0B22" w:rsidP="00985040">
      <w:pPr>
        <w:pStyle w:val="Akapitzlist"/>
        <w:tabs>
          <w:tab w:val="left" w:pos="975"/>
          <w:tab w:val="left" w:pos="6660"/>
        </w:tabs>
        <w:ind w:left="644"/>
        <w:rPr>
          <w:rFonts w:asciiTheme="majorBidi" w:hAnsiTheme="majorBidi" w:cstheme="majorBidi"/>
          <w:sz w:val="22"/>
          <w:szCs w:val="22"/>
          <w:lang w:val="pl-PL"/>
        </w:rPr>
      </w:pPr>
    </w:p>
    <w:p w:rsidR="008D0B22" w:rsidRDefault="008D0B22" w:rsidP="00985040">
      <w:pPr>
        <w:pStyle w:val="Akapitzlist"/>
        <w:tabs>
          <w:tab w:val="left" w:pos="975"/>
          <w:tab w:val="left" w:pos="6660"/>
        </w:tabs>
        <w:ind w:left="644"/>
        <w:rPr>
          <w:rFonts w:asciiTheme="majorBidi" w:hAnsiTheme="majorBidi" w:cstheme="majorBidi"/>
          <w:sz w:val="22"/>
          <w:szCs w:val="22"/>
          <w:lang w:val="pl-PL"/>
        </w:rPr>
      </w:pPr>
    </w:p>
    <w:p w:rsidR="008D0B22" w:rsidRDefault="008D0B22" w:rsidP="00985040">
      <w:pPr>
        <w:pStyle w:val="Akapitzlist"/>
        <w:tabs>
          <w:tab w:val="left" w:pos="975"/>
          <w:tab w:val="left" w:pos="6660"/>
        </w:tabs>
        <w:ind w:left="644"/>
        <w:rPr>
          <w:rFonts w:asciiTheme="majorBidi" w:hAnsiTheme="majorBidi" w:cstheme="majorBidi"/>
          <w:sz w:val="22"/>
          <w:szCs w:val="22"/>
          <w:lang w:val="pl-PL"/>
        </w:rPr>
      </w:pPr>
    </w:p>
    <w:p w:rsidR="008D0B22" w:rsidRDefault="008D0B22" w:rsidP="00985040">
      <w:pPr>
        <w:pStyle w:val="Akapitzlist"/>
        <w:tabs>
          <w:tab w:val="left" w:pos="975"/>
          <w:tab w:val="left" w:pos="6660"/>
        </w:tabs>
        <w:ind w:left="644"/>
        <w:rPr>
          <w:rFonts w:asciiTheme="majorBidi" w:hAnsiTheme="majorBidi" w:cstheme="majorBidi"/>
          <w:sz w:val="22"/>
          <w:szCs w:val="22"/>
          <w:lang w:val="pl-PL"/>
        </w:rPr>
      </w:pPr>
    </w:p>
    <w:p w:rsidR="008D0B22" w:rsidRDefault="008D0B22" w:rsidP="00985040">
      <w:pPr>
        <w:pStyle w:val="Akapitzlist"/>
        <w:tabs>
          <w:tab w:val="left" w:pos="975"/>
          <w:tab w:val="left" w:pos="6660"/>
        </w:tabs>
        <w:ind w:left="644"/>
        <w:rPr>
          <w:rFonts w:asciiTheme="majorBidi" w:hAnsiTheme="majorBidi" w:cstheme="majorBidi"/>
          <w:sz w:val="22"/>
          <w:szCs w:val="22"/>
          <w:lang w:val="pl-PL"/>
        </w:rPr>
      </w:pPr>
    </w:p>
    <w:p w:rsidR="008D0B22" w:rsidRDefault="008D0B22" w:rsidP="00985040">
      <w:pPr>
        <w:pStyle w:val="Akapitzlist"/>
        <w:tabs>
          <w:tab w:val="left" w:pos="975"/>
          <w:tab w:val="left" w:pos="6660"/>
        </w:tabs>
        <w:ind w:left="644"/>
        <w:rPr>
          <w:rFonts w:asciiTheme="majorBidi" w:hAnsiTheme="majorBidi" w:cstheme="majorBidi"/>
          <w:sz w:val="22"/>
          <w:szCs w:val="22"/>
          <w:lang w:val="pl-PL"/>
        </w:rPr>
      </w:pPr>
    </w:p>
    <w:p w:rsidR="008D0B22" w:rsidRPr="008D0B22" w:rsidRDefault="008D0B22" w:rsidP="008D0B22">
      <w:pPr>
        <w:pStyle w:val="Akapitzlist"/>
        <w:tabs>
          <w:tab w:val="left" w:pos="975"/>
          <w:tab w:val="left" w:pos="6660"/>
        </w:tabs>
        <w:ind w:left="644"/>
        <w:jc w:val="center"/>
        <w:rPr>
          <w:rFonts w:asciiTheme="majorBidi" w:hAnsiTheme="majorBidi" w:cstheme="majorBidi"/>
          <w:b/>
          <w:sz w:val="22"/>
          <w:szCs w:val="22"/>
          <w:lang w:val="pl-PL"/>
        </w:rPr>
      </w:pPr>
      <w:r w:rsidRPr="008D0B22">
        <w:rPr>
          <w:rFonts w:asciiTheme="majorBidi" w:hAnsiTheme="majorBidi" w:cstheme="majorBidi"/>
          <w:b/>
          <w:sz w:val="22"/>
          <w:szCs w:val="22"/>
          <w:lang w:val="pl-PL"/>
        </w:rPr>
        <w:lastRenderedPageBreak/>
        <w:t>II</w:t>
      </w:r>
      <w:bookmarkStart w:id="0" w:name="_GoBack"/>
      <w:bookmarkEnd w:id="0"/>
    </w:p>
    <w:p w:rsidR="008D0B22" w:rsidRDefault="008D0B22" w:rsidP="00985040">
      <w:pPr>
        <w:pStyle w:val="Akapitzlist"/>
        <w:tabs>
          <w:tab w:val="left" w:pos="975"/>
          <w:tab w:val="left" w:pos="6660"/>
        </w:tabs>
        <w:ind w:left="644"/>
        <w:rPr>
          <w:rFonts w:asciiTheme="majorBidi" w:hAnsiTheme="majorBidi" w:cstheme="majorBidi"/>
          <w:sz w:val="22"/>
          <w:szCs w:val="22"/>
          <w:lang w:val="pl-PL"/>
        </w:rPr>
      </w:pPr>
    </w:p>
    <w:p w:rsidR="008D0B22" w:rsidRPr="008D0B22" w:rsidRDefault="008D0B22" w:rsidP="008D0B22">
      <w:pPr>
        <w:pStyle w:val="Akapitzlist"/>
        <w:tabs>
          <w:tab w:val="left" w:pos="975"/>
          <w:tab w:val="left" w:pos="6096"/>
        </w:tabs>
        <w:ind w:left="-142"/>
        <w:jc w:val="both"/>
        <w:rPr>
          <w:rFonts w:asciiTheme="majorBidi" w:hAnsiTheme="majorBidi" w:cstheme="majorBidi"/>
          <w:sz w:val="22"/>
          <w:szCs w:val="22"/>
          <w:lang w:val="pl-PL"/>
        </w:rPr>
      </w:pPr>
      <w:r w:rsidRPr="008D0B22">
        <w:rPr>
          <w:rFonts w:asciiTheme="majorBidi" w:hAnsiTheme="majorBidi" w:cstheme="majorBidi"/>
          <w:sz w:val="22"/>
          <w:szCs w:val="22"/>
          <w:lang w:val="pl-PL"/>
        </w:rPr>
        <w:t>Dot. załącznik nr 1 - Warunki graniczne wymagań techniczno-funkcjonalnych automatycznego analizatora do badań z zakresu immunologii transfuzjologicznej.</w:t>
      </w: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r w:rsidRPr="008D0B22">
        <w:rPr>
          <w:rFonts w:asciiTheme="majorBidi" w:hAnsiTheme="majorBidi" w:cstheme="majorBidi"/>
          <w:sz w:val="22"/>
          <w:szCs w:val="22"/>
          <w:lang w:val="pl-PL"/>
        </w:rPr>
        <w:t>I  Wymagania techniczne analizatora oraz serwis.</w:t>
      </w: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r w:rsidRPr="008D0B22">
        <w:rPr>
          <w:rFonts w:asciiTheme="majorBidi" w:hAnsiTheme="majorBidi" w:cstheme="majorBidi"/>
          <w:sz w:val="22"/>
          <w:szCs w:val="22"/>
          <w:lang w:val="pl-PL"/>
        </w:rPr>
        <w:t>1.</w:t>
      </w:r>
      <w:r w:rsidRPr="008D0B22">
        <w:rPr>
          <w:rFonts w:asciiTheme="majorBidi" w:hAnsiTheme="majorBidi" w:cstheme="majorBidi"/>
          <w:sz w:val="22"/>
          <w:szCs w:val="22"/>
          <w:lang w:val="pl-PL"/>
        </w:rPr>
        <w:tab/>
        <w:t>Dot. punktu nr 3.1) Prosimy o odstąpienie od oceny w tym punkcie zużycia prądu przez analizator gdyż nie jest to żaden walor oceny technicznej wpływający na pracę analizatora, nie ma wpływu na jakość wykonania badania oraz nie ma wpływu na szybkość wykonania badania. Alternatywnie prosimy o ocenę jakościową analizatora o poborze mocy do 1600VA?</w:t>
      </w: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r w:rsidRPr="008D0B22">
        <w:rPr>
          <w:rFonts w:asciiTheme="majorBidi" w:hAnsiTheme="majorBidi" w:cstheme="majorBidi"/>
          <w:sz w:val="22"/>
          <w:szCs w:val="22"/>
          <w:lang w:val="pl-PL"/>
        </w:rPr>
        <w:t>Przychylność zapewni Państwu konkurencyjność w postępowaniu.</w:t>
      </w: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r w:rsidRPr="008D0B22">
        <w:rPr>
          <w:rFonts w:asciiTheme="majorBidi" w:hAnsiTheme="majorBidi" w:cstheme="majorBidi"/>
          <w:sz w:val="22"/>
          <w:szCs w:val="22"/>
          <w:lang w:val="pl-PL"/>
        </w:rPr>
        <w:t>2.</w:t>
      </w:r>
      <w:r w:rsidRPr="008D0B22">
        <w:rPr>
          <w:rFonts w:asciiTheme="majorBidi" w:hAnsiTheme="majorBidi" w:cstheme="majorBidi"/>
          <w:sz w:val="22"/>
          <w:szCs w:val="22"/>
          <w:lang w:val="pl-PL"/>
        </w:rPr>
        <w:tab/>
        <w:t>Dot. punktu 3.3) Prosimy o odstąpienie od oceny w tym punkcie jednoczesnego nakłuwania karty i dozowania przy pomocy igły jako rozwiązania przestarzałego technologicznie, powodującego możliwość kontaminacji próbki,  lub uznanie za równoważne i oceniane w tej samej ilości punktów technologii nowocześniejszej z dedykowanym dziurkaczem kart i igłą dozującą, co zapobiegać będzie możliwości kontaminacji próbki?</w:t>
      </w: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r w:rsidRPr="008D0B22">
        <w:rPr>
          <w:rFonts w:asciiTheme="majorBidi" w:hAnsiTheme="majorBidi" w:cstheme="majorBidi"/>
          <w:sz w:val="22"/>
          <w:szCs w:val="22"/>
          <w:lang w:val="pl-PL"/>
        </w:rPr>
        <w:t>Przychylność zapewni Państwu konkurencyjność w postępowaniu.</w:t>
      </w: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r w:rsidRPr="008D0B22">
        <w:rPr>
          <w:rFonts w:asciiTheme="majorBidi" w:hAnsiTheme="majorBidi" w:cstheme="majorBidi"/>
          <w:sz w:val="22"/>
          <w:szCs w:val="22"/>
          <w:lang w:val="pl-PL"/>
        </w:rPr>
        <w:t>II Odczynniki  oraz warunki ich dostawy.</w:t>
      </w: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r w:rsidRPr="008D0B22">
        <w:rPr>
          <w:rFonts w:asciiTheme="majorBidi" w:hAnsiTheme="majorBidi" w:cstheme="majorBidi"/>
          <w:sz w:val="22"/>
          <w:szCs w:val="22"/>
          <w:lang w:val="pl-PL"/>
        </w:rPr>
        <w:t>3.</w:t>
      </w:r>
      <w:r w:rsidRPr="008D0B22">
        <w:rPr>
          <w:rFonts w:asciiTheme="majorBidi" w:hAnsiTheme="majorBidi" w:cstheme="majorBidi"/>
          <w:sz w:val="22"/>
          <w:szCs w:val="22"/>
          <w:lang w:val="pl-PL"/>
        </w:rPr>
        <w:tab/>
        <w:t>Dot. punktu 5 Prosimy o odstąpienie od oceny w tym punkcie dodatkowej kolumny kontroli wewnętrznej jako rozwiązania przestarzałego technologicznie, lub uznanie za równoważne i oceniane w tej samej ilości punktów technologii nowocześniejszej, która nie wymaga stosowania dodatkowej kolumny kontrolnej?</w:t>
      </w: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r w:rsidRPr="008D0B22">
        <w:rPr>
          <w:rFonts w:asciiTheme="majorBidi" w:hAnsiTheme="majorBidi" w:cstheme="majorBidi"/>
          <w:sz w:val="22"/>
          <w:szCs w:val="22"/>
          <w:lang w:val="pl-PL"/>
        </w:rPr>
        <w:t>Przychylność zapewni Państwu konkurencyjność w postępowaniu.</w:t>
      </w: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r w:rsidRPr="008D0B22">
        <w:rPr>
          <w:rFonts w:asciiTheme="majorBidi" w:hAnsiTheme="majorBidi" w:cstheme="majorBidi"/>
          <w:sz w:val="22"/>
          <w:szCs w:val="22"/>
          <w:lang w:val="pl-PL"/>
        </w:rPr>
        <w:t>4.</w:t>
      </w:r>
      <w:r w:rsidRPr="008D0B22">
        <w:rPr>
          <w:rFonts w:asciiTheme="majorBidi" w:hAnsiTheme="majorBidi" w:cstheme="majorBidi"/>
          <w:sz w:val="22"/>
          <w:szCs w:val="22"/>
          <w:lang w:val="pl-PL"/>
        </w:rPr>
        <w:tab/>
        <w:t xml:space="preserve">Dot. punktu 9 Prosimy o odstąpienie od oceny w tym punkcie dodatkowej kolumny DV+,DV-, BTA </w:t>
      </w:r>
      <w:proofErr w:type="spellStart"/>
      <w:r w:rsidRPr="008D0B22">
        <w:rPr>
          <w:rFonts w:asciiTheme="majorBidi" w:hAnsiTheme="majorBidi" w:cstheme="majorBidi"/>
          <w:sz w:val="22"/>
          <w:szCs w:val="22"/>
          <w:lang w:val="pl-PL"/>
        </w:rPr>
        <w:t>monowalentne</w:t>
      </w:r>
      <w:proofErr w:type="spellEnd"/>
      <w:r w:rsidRPr="008D0B22">
        <w:rPr>
          <w:rFonts w:asciiTheme="majorBidi" w:hAnsiTheme="majorBidi" w:cstheme="majorBidi"/>
          <w:sz w:val="22"/>
          <w:szCs w:val="22"/>
          <w:lang w:val="pl-PL"/>
        </w:rPr>
        <w:t xml:space="preserve"> i poliwalentne na jednej karcie, jako niewymagane przepisami i nieuzasadnione szczególnie, że i tak należy potwierdzić noworodka drugim oznaczeniem (drugą kartą), lub uznanie za równoważne i oceniane w tej samej ilości punktów rozwiązania z zaoferowaniem karty noworodkowej z DVI+ i BTA (poliwalentne) i dodatkowej karty  z DVI-na drugie oznaczenie?</w:t>
      </w:r>
    </w:p>
    <w:p w:rsidR="008D0B22" w:rsidRPr="008D0B22" w:rsidRDefault="008D0B22" w:rsidP="008D0B22">
      <w:pPr>
        <w:pStyle w:val="Akapitzlist"/>
        <w:tabs>
          <w:tab w:val="left" w:pos="975"/>
          <w:tab w:val="left" w:pos="6096"/>
        </w:tabs>
        <w:ind w:left="644"/>
        <w:jc w:val="both"/>
        <w:rPr>
          <w:rFonts w:asciiTheme="majorBidi" w:hAnsiTheme="majorBidi" w:cstheme="majorBidi"/>
          <w:sz w:val="22"/>
          <w:szCs w:val="22"/>
          <w:lang w:val="pl-PL"/>
        </w:rPr>
      </w:pPr>
      <w:r w:rsidRPr="008D0B22">
        <w:rPr>
          <w:rFonts w:asciiTheme="majorBidi" w:hAnsiTheme="majorBidi" w:cstheme="majorBidi"/>
          <w:sz w:val="22"/>
          <w:szCs w:val="22"/>
          <w:lang w:val="pl-PL"/>
        </w:rPr>
        <w:t>Przychylność zapewni Państwu konkurencyjność w postępowaniu.</w:t>
      </w:r>
    </w:p>
    <w:p w:rsidR="00985040" w:rsidRDefault="00985040" w:rsidP="008D0B22">
      <w:pPr>
        <w:pStyle w:val="Akapitzlist"/>
        <w:tabs>
          <w:tab w:val="left" w:pos="975"/>
          <w:tab w:val="left" w:pos="6096"/>
        </w:tabs>
        <w:ind w:left="644"/>
        <w:jc w:val="both"/>
        <w:rPr>
          <w:rFonts w:asciiTheme="majorBidi" w:hAnsiTheme="majorBidi" w:cstheme="majorBidi"/>
          <w:sz w:val="22"/>
          <w:szCs w:val="22"/>
          <w:lang w:val="pl-PL"/>
        </w:rPr>
      </w:pPr>
    </w:p>
    <w:p w:rsidR="00985040" w:rsidRDefault="00985040" w:rsidP="008D0B22">
      <w:pPr>
        <w:pStyle w:val="Akapitzlist"/>
        <w:tabs>
          <w:tab w:val="left" w:pos="975"/>
          <w:tab w:val="left" w:pos="6096"/>
          <w:tab w:val="left" w:pos="6660"/>
        </w:tabs>
        <w:ind w:left="644"/>
        <w:rPr>
          <w:rFonts w:asciiTheme="majorBidi" w:hAnsiTheme="majorBidi" w:cstheme="majorBidi"/>
          <w:sz w:val="22"/>
          <w:szCs w:val="22"/>
          <w:lang w:val="pl-PL"/>
        </w:rPr>
      </w:pPr>
    </w:p>
    <w:p w:rsidR="00985040" w:rsidRDefault="00985040" w:rsidP="008D0B22">
      <w:pPr>
        <w:pStyle w:val="Akapitzlist"/>
        <w:tabs>
          <w:tab w:val="left" w:pos="975"/>
          <w:tab w:val="left" w:pos="6096"/>
          <w:tab w:val="left" w:pos="6660"/>
        </w:tabs>
        <w:ind w:left="644"/>
        <w:rPr>
          <w:rFonts w:asciiTheme="majorBidi" w:hAnsiTheme="majorBidi" w:cstheme="majorBidi"/>
          <w:sz w:val="22"/>
          <w:szCs w:val="22"/>
          <w:lang w:val="pl-PL"/>
        </w:rPr>
      </w:pPr>
    </w:p>
    <w:p w:rsidR="00985040" w:rsidRDefault="00985040"/>
    <w:sectPr w:rsidR="00985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44F"/>
    <w:multiLevelType w:val="hybridMultilevel"/>
    <w:tmpl w:val="3C28324A"/>
    <w:lvl w:ilvl="0" w:tplc="B38227A4">
      <w:start w:val="1"/>
      <w:numFmt w:val="decimal"/>
      <w:lvlText w:val="%1."/>
      <w:lvlJc w:val="left"/>
      <w:pPr>
        <w:ind w:left="644"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40"/>
    <w:rsid w:val="008D0B22"/>
    <w:rsid w:val="00985040"/>
    <w:rsid w:val="00AB1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9A94"/>
  <w15:chartTrackingRefBased/>
  <w15:docId w15:val="{58918636-F695-45B1-BBC8-F999878C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5040"/>
    <w:pPr>
      <w:spacing w:after="0" w:line="240" w:lineRule="auto"/>
    </w:pPr>
    <w:rPr>
      <w:rFonts w:eastAsiaTheme="minorEastAsia"/>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5040"/>
    <w:pPr>
      <w:ind w:left="720"/>
    </w:pPr>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1127</Words>
  <Characters>6765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2</cp:revision>
  <dcterms:created xsi:type="dcterms:W3CDTF">2019-03-27T06:49:00Z</dcterms:created>
  <dcterms:modified xsi:type="dcterms:W3CDTF">2019-03-27T13:30:00Z</dcterms:modified>
</cp:coreProperties>
</file>