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LPP.2811.2</w:t>
      </w:r>
      <w:r>
        <w:rPr>
          <w:rFonts w:hint="default" w:ascii="Calibri" w:hAnsi="Calibri" w:eastAsia="Calibri" w:cs="Calibri"/>
          <w:b/>
          <w:iCs/>
          <w:sz w:val="22"/>
          <w:szCs w:val="22"/>
          <w:lang w:val="pl-PL" w:eastAsia="en-US"/>
        </w:rPr>
        <w:t>b</w:t>
      </w:r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>ZAPROSZENIE DO ZŁOŻENIA OFERTY CZĘŚĆ 2</w:t>
      </w:r>
      <w:r>
        <w:rPr>
          <w:rFonts w:hint="default" w:ascii="Calibri" w:hAnsi="Calibri" w:eastAsia="Calibri" w:cs="Calibri"/>
          <w:b/>
          <w:bCs/>
          <w:i/>
          <w:sz w:val="22"/>
          <w:szCs w:val="22"/>
          <w:lang w:val="pl-PL" w:eastAsia="en-US"/>
        </w:rPr>
        <w:t>b</w:t>
      </w: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Na zakup akcesoriów potrzebnych do wyposażenia 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6460877"/>
      <w:bookmarkStart w:id="3" w:name="_Hlk117160589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 xml:space="preserve">Do realizacji niniejszego postępowania nie stosuje się przepisów Ustawę z dnia 11 września 2019 r. – Prawo zamówień publicznych (Dz.U. z 2022 r. poz. 1710 z późn. zm.). </w:t>
      </w:r>
      <w:bookmarkEnd w:id="2"/>
      <w:bookmarkEnd w:id="3"/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34150000-3 - Symulatory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Dostawę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akcesoriów do fantomów 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suppressAutoHyphens w:val="0"/>
        <w:overflowPunct/>
        <w:autoSpaceDE/>
        <w:autoSpaceDN/>
        <w:adjustRightInd/>
        <w:ind w:firstLine="440" w:firstLineChars="200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textAlignment w:val="auto"/>
        <w:rPr>
          <w:rFonts w:hint="default"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>Załącznik 2b OPIS PRZEDMIOTU ZAMÓWIENIA CZĘŚĆ II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 xml:space="preserve"> b</w:t>
      </w:r>
    </w:p>
    <w:p>
      <w:pPr>
        <w:suppressAutoHyphens w:val="0"/>
        <w:overflowPunct/>
        <w:autoSpaceDE/>
        <w:autoSpaceDN/>
        <w:adjustRightInd/>
        <w:ind w:left="655" w:leftChars="273" w:firstLine="440" w:firstLineChars="200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również rozładunek w Miejscu realizacji zamówienia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Przedmiotem zamówienia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</w:t>
      </w:r>
      <w:bookmarkStart w:id="5" w:name="_Hlk133912694"/>
      <w:r>
        <w:rPr>
          <w:rFonts w:ascii="Calibri" w:hAnsi="Calibri" w:cs="Calibri"/>
          <w:sz w:val="22"/>
          <w:szCs w:val="22"/>
        </w:rPr>
        <w:t>specyfikację techniczną tj. opis techniczny i funkcjonalny lub katalog producenta lub inny dokument, pozwalający na ocenę zgodności ofertowanego produktu, jego elementów, parametrów z wymogami zaproszenia do złożenia oferty</w:t>
      </w:r>
      <w:bookmarkEnd w:id="5"/>
      <w:r>
        <w:rPr>
          <w:rFonts w:ascii="Calibri" w:hAnsi="Calibri" w:cs="Calibri"/>
          <w:sz w:val="22"/>
          <w:szCs w:val="22"/>
        </w:rPr>
        <w:t xml:space="preserve"> odpowiednio dla części Zamówienia Z</w:t>
      </w:r>
      <w:r>
        <w:rPr>
          <w:rFonts w:ascii="Calibri" w:hAnsi="Calibri" w:cs="Calibri"/>
          <w:b/>
          <w:bCs/>
          <w:sz w:val="22"/>
          <w:szCs w:val="22"/>
        </w:rPr>
        <w:t>ałącznik 2b Opis przedmiotu zamówienia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835).Należy przedłożyć oświadczenie odnoszące się do powyższego warunku udziału w postępowaniu. Oświadczenie stanowi część formularza oferty </w:t>
      </w:r>
      <w:r>
        <w:rPr>
          <w:rFonts w:ascii="Calibri" w:hAnsi="Calibri" w:cs="Calibri"/>
          <w:b/>
          <w:bCs/>
          <w:sz w:val="22"/>
          <w:szCs w:val="22"/>
        </w:rPr>
        <w:t>(Załącznik nr 1 do Zaproszenia do złożenia oferty część 2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>
      <w:p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>Załącznik nr 1 część 2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b</w:t>
      </w:r>
      <w:bookmarkStart w:id="7" w:name="_GoBack"/>
      <w:bookmarkEnd w:id="7"/>
      <w:r>
        <w:rPr>
          <w:rFonts w:ascii="Calibri" w:hAnsi="Calibri" w:cs="Calibri"/>
          <w:b/>
          <w:bCs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do dnia 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26</w:t>
      </w:r>
      <w:r>
        <w:rPr>
          <w:rFonts w:ascii="Calibri" w:hAnsi="Calibri" w:cs="Calibri"/>
          <w:b/>
          <w:bCs/>
          <w:sz w:val="22"/>
          <w:szCs w:val="22"/>
        </w:rPr>
        <w:t xml:space="preserve">.05.2023 r. do godziny 10:00. </w:t>
      </w:r>
      <w:r>
        <w:rPr>
          <w:rFonts w:ascii="Calibri" w:hAnsi="Calibri" w:cs="Calibri"/>
          <w:sz w:val="22"/>
          <w:szCs w:val="22"/>
        </w:rPr>
        <w:t xml:space="preserve">Otwarcie ofert nastąpi w dniu </w:t>
      </w:r>
      <w:r>
        <w:rPr>
          <w:rFonts w:hint="default" w:ascii="Calibri" w:hAnsi="Calibri" w:cs="Calibri"/>
          <w:sz w:val="22"/>
          <w:szCs w:val="22"/>
          <w:lang w:val="pl-PL"/>
        </w:rPr>
        <w:t>26</w:t>
      </w:r>
      <w:r>
        <w:rPr>
          <w:rFonts w:ascii="Calibri" w:hAnsi="Calibri" w:cs="Calibri"/>
          <w:sz w:val="22"/>
          <w:szCs w:val="22"/>
        </w:rPr>
        <w:t xml:space="preserve">.05.2023 r. o godzinie 13:30, w Siedzibie Zamawiającego.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Oferty, które wpłyną po wyznaczonym terminie składania ofert nie będą rozpatrywane.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6" w:name="_Hlk117577468"/>
      <w:r>
        <w:rPr>
          <w:rFonts w:ascii="Calibri" w:hAnsi="Calibri" w:cs="Calibri"/>
          <w:b/>
          <w:bCs/>
          <w:sz w:val="22"/>
          <w:szCs w:val="22"/>
        </w:rPr>
        <w:t>Załącznik nr 1  część 2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 xml:space="preserve"> do Zaproszenia do złożenia oferty</w:t>
      </w:r>
      <w:bookmarkEnd w:id="6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Przez ofertę należy rozumieć całość wymaganej dokumentacji wskazanej w Zaproszeniu do składania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przypadku uznania za najkorzystniejszą ofertę, która została złożona w wersji elektronicznej w formie skanu podpisanych dokumentów Oferent zobowiązany jest dostarczyć ofertę w wersji papierowej przed zawarciem umowy. Dostarczona oferta w formie pisemnej musi w pełni odpowiadać przesłanemu skanowi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powinna być 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osoby reprezentujące).W przypadku udzielania pełnomocnictwa do podpisania Oferty należy dołączyć stosowne upoważnienie w oryginale podpisane przez osobę/y upoważnioną/e do reprezentowania Oferenta. 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ilvl w:val="0"/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Specyfikacja techniczna tj. opis techniczny i funkcjonalny lub katalog producenta lub inny dokument, pozwalający na ocenę zgodności ofertowanego produktu, jego elementów, parametrów z wymogami zaproszenia do złożenia oferty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spełnionych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Cena Oferty.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musi pokrywać wszystkie koszty poniesione przez Wykonawcę w celu prawidłowego terminowego zrealizowania wszystkich czynności niezbędnych do wykonania Zamówienia.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do 30 dni od przekazania Zamawiającemu prawidłowo wystawionej faktury.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 xml:space="preserve"> Załącznik nr 3 część 2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 xml:space="preserve">  do Zaproszenia do złożenia oferty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ilvl w:val="0"/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z w:val="22"/>
          <w:szCs w:val="22"/>
          <w:lang w:val="pl-PL"/>
        </w:rPr>
        <w:t>ę</w:t>
      </w:r>
      <w:r>
        <w:rPr>
          <w:rFonts w:ascii="Calibri" w:hAnsi="Calibri" w:cs="Calibri"/>
          <w:sz w:val="22"/>
          <w:szCs w:val="22"/>
        </w:rPr>
        <w:t>powanie obarczone jest niemożliwą do usunięcia wadą uniemożliwiającą zawarcie niepodlegającej unieważnieniu umowy.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Nie później niż na 2 dni przed terminem złożenia ofert.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zamieści treść odpowiedzi na stronie internetowej, na której prowadzone jest postępowanie.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hint="default"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 xml:space="preserve">Załącznik nr 1  Formularz ofertowy Część 2 </w:t>
      </w:r>
      <w:r>
        <w:rPr>
          <w:rFonts w:hint="default" w:ascii="Calibri" w:hAnsi="Calibri" w:cs="Calibri"/>
          <w:sz w:val="22"/>
          <w:szCs w:val="22"/>
          <w:lang w:val="pl-PL"/>
        </w:rPr>
        <w:t>b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hint="default"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</w:rPr>
        <w:t>Załącznik nr 2b Opis przedmiotu zamówienia Część 2</w:t>
      </w:r>
      <w:r>
        <w:rPr>
          <w:rFonts w:hint="default" w:ascii="Calibri" w:hAnsi="Calibri" w:cs="Calibri"/>
          <w:sz w:val="22"/>
          <w:szCs w:val="22"/>
          <w:lang w:val="pl-PL"/>
        </w:rPr>
        <w:t>b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część 2</w:t>
      </w:r>
      <w:r>
        <w:rPr>
          <w:rFonts w:hint="default" w:ascii="Calibri" w:hAnsi="Calibri" w:cs="Calibri"/>
          <w:sz w:val="22"/>
          <w:szCs w:val="22"/>
          <w:lang w:val="pl-PL"/>
        </w:rPr>
        <w:t>b</w:t>
      </w:r>
      <w:r>
        <w:rPr>
          <w:rFonts w:ascii="Calibri" w:hAnsi="Calibri" w:cs="Calibri"/>
          <w:sz w:val="22"/>
          <w:szCs w:val="22"/>
        </w:rPr>
        <w:t xml:space="preserve">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rPr>
        <w:rFonts w:hint="default"/>
        <w:lang w:val="pl-PL"/>
      </w:rPr>
    </w:pPr>
    <w:r>
      <w:drawing>
        <wp:inline distT="0" distB="0" distL="0" distR="0">
          <wp:extent cx="3030855" cy="716915"/>
          <wp:effectExtent l="0" t="0" r="1905" b="146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08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25090" cy="933450"/>
          <wp:effectExtent l="0" t="0" r="11430" b="11430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509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  <w:r>
      <w:drawing>
        <wp:inline distT="0" distB="0" distL="0" distR="0">
          <wp:extent cx="3030855" cy="716915"/>
          <wp:effectExtent l="0" t="0" r="1905" b="146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08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25090" cy="933450"/>
          <wp:effectExtent l="0" t="0" r="11430" b="11430"/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509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AA8"/>
    <w:rsid w:val="00005D4B"/>
    <w:rsid w:val="0000636F"/>
    <w:rsid w:val="00011B1A"/>
    <w:rsid w:val="00015F98"/>
    <w:rsid w:val="00025E0D"/>
    <w:rsid w:val="00026A2D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68B"/>
    <w:rsid w:val="00131A4B"/>
    <w:rsid w:val="00153736"/>
    <w:rsid w:val="00157DD9"/>
    <w:rsid w:val="0016437E"/>
    <w:rsid w:val="001644B4"/>
    <w:rsid w:val="0019410B"/>
    <w:rsid w:val="00195C1E"/>
    <w:rsid w:val="001A1A90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8E3"/>
    <w:rsid w:val="0023074F"/>
    <w:rsid w:val="002325C9"/>
    <w:rsid w:val="002342DD"/>
    <w:rsid w:val="00236806"/>
    <w:rsid w:val="00246559"/>
    <w:rsid w:val="0024690D"/>
    <w:rsid w:val="00256230"/>
    <w:rsid w:val="0026685F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27ADF"/>
    <w:rsid w:val="0043492A"/>
    <w:rsid w:val="00440AD4"/>
    <w:rsid w:val="004411A6"/>
    <w:rsid w:val="0044413F"/>
    <w:rsid w:val="00452908"/>
    <w:rsid w:val="00462871"/>
    <w:rsid w:val="00463B14"/>
    <w:rsid w:val="00470907"/>
    <w:rsid w:val="00481166"/>
    <w:rsid w:val="004915EC"/>
    <w:rsid w:val="004D4B66"/>
    <w:rsid w:val="004D56C6"/>
    <w:rsid w:val="004E455F"/>
    <w:rsid w:val="004E5381"/>
    <w:rsid w:val="0052401F"/>
    <w:rsid w:val="00547D9D"/>
    <w:rsid w:val="00551C52"/>
    <w:rsid w:val="00580563"/>
    <w:rsid w:val="00580A81"/>
    <w:rsid w:val="00581BBE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D6B03"/>
    <w:rsid w:val="006F75B8"/>
    <w:rsid w:val="007017E3"/>
    <w:rsid w:val="00715F40"/>
    <w:rsid w:val="00716AE3"/>
    <w:rsid w:val="00735723"/>
    <w:rsid w:val="0073792B"/>
    <w:rsid w:val="00743554"/>
    <w:rsid w:val="00746F46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A5350"/>
    <w:rsid w:val="00AC259F"/>
    <w:rsid w:val="00AC5B91"/>
    <w:rsid w:val="00AD5CFD"/>
    <w:rsid w:val="00AD5DF2"/>
    <w:rsid w:val="00AF7C28"/>
    <w:rsid w:val="00B01ED7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A545E"/>
    <w:rsid w:val="00BB2869"/>
    <w:rsid w:val="00BF16FE"/>
    <w:rsid w:val="00BF4625"/>
    <w:rsid w:val="00C0200D"/>
    <w:rsid w:val="00C33E93"/>
    <w:rsid w:val="00C412BD"/>
    <w:rsid w:val="00C52B43"/>
    <w:rsid w:val="00C81852"/>
    <w:rsid w:val="00CA731A"/>
    <w:rsid w:val="00CB3CED"/>
    <w:rsid w:val="00CB608C"/>
    <w:rsid w:val="00CB7B05"/>
    <w:rsid w:val="00CC52DF"/>
    <w:rsid w:val="00CD55F8"/>
    <w:rsid w:val="00CE5CA1"/>
    <w:rsid w:val="00CF0809"/>
    <w:rsid w:val="00CF2265"/>
    <w:rsid w:val="00D20A1C"/>
    <w:rsid w:val="00D2274D"/>
    <w:rsid w:val="00D245F7"/>
    <w:rsid w:val="00D45098"/>
    <w:rsid w:val="00D46A2D"/>
    <w:rsid w:val="00D472E0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E049F8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E7200"/>
    <w:rsid w:val="0A13339D"/>
    <w:rsid w:val="0E0F7F08"/>
    <w:rsid w:val="151A6693"/>
    <w:rsid w:val="1DC94976"/>
    <w:rsid w:val="2A332A3A"/>
    <w:rsid w:val="2A346818"/>
    <w:rsid w:val="2B157B53"/>
    <w:rsid w:val="3BEF76B9"/>
    <w:rsid w:val="3FCA799E"/>
    <w:rsid w:val="40D97ECD"/>
    <w:rsid w:val="4D6B2E62"/>
    <w:rsid w:val="66F64A53"/>
    <w:rsid w:val="70025BEF"/>
    <w:rsid w:val="73732846"/>
    <w:rsid w:val="7B3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qFormat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1632</Words>
  <Characters>9793</Characters>
  <Lines>81</Lines>
  <Paragraphs>22</Paragraphs>
  <TotalTime>9</TotalTime>
  <ScaleCrop>false</ScaleCrop>
  <LinksUpToDate>false</LinksUpToDate>
  <CharactersWithSpaces>11403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2023-05-21T15:59:19Z</dcterms:modified>
  <dc:title>Załącznik nr ……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