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65C8" w:rsidRDefault="003165C8" w:rsidP="003165C8">
      <w:pPr>
        <w:jc w:val="center"/>
        <w:rPr>
          <w:rFonts w:ascii="Arial" w:hAnsi="Arial" w:cs="Arial"/>
          <w:b/>
          <w:u w:val="single"/>
        </w:rPr>
      </w:pPr>
      <w:r>
        <w:rPr>
          <w:rFonts w:ascii="Arial" w:hAnsi="Arial" w:cs="Arial"/>
          <w:b/>
          <w:u w:val="single"/>
        </w:rPr>
        <w:t>ZAPYTANIA</w:t>
      </w:r>
    </w:p>
    <w:p w:rsidR="003165C8" w:rsidRDefault="003165C8" w:rsidP="003165C8">
      <w:pPr>
        <w:jc w:val="center"/>
        <w:rPr>
          <w:rFonts w:ascii="Arial" w:hAnsi="Arial" w:cs="Arial"/>
          <w:b/>
          <w:u w:val="single"/>
        </w:rPr>
      </w:pPr>
    </w:p>
    <w:p w:rsidR="006F0C11" w:rsidRPr="009F2E09" w:rsidRDefault="009F2E09">
      <w:pPr>
        <w:rPr>
          <w:rFonts w:ascii="Arial" w:hAnsi="Arial" w:cs="Arial"/>
          <w:b/>
          <w:u w:val="single"/>
        </w:rPr>
      </w:pPr>
      <w:r w:rsidRPr="009F2E09">
        <w:rPr>
          <w:rFonts w:ascii="Arial" w:hAnsi="Arial" w:cs="Arial"/>
          <w:b/>
          <w:u w:val="single"/>
        </w:rPr>
        <w:t>Zapytania nr 1 z dnia 04.06.2018</w:t>
      </w:r>
    </w:p>
    <w:p w:rsidR="009F2E09" w:rsidRDefault="009F2E09" w:rsidP="009F2E09">
      <w:pPr>
        <w:jc w:val="both"/>
        <w:rPr>
          <w:rFonts w:ascii="Calibri" w:hAnsi="Calibri"/>
          <w:b/>
        </w:rPr>
      </w:pPr>
    </w:p>
    <w:p w:rsidR="009F2E09" w:rsidRDefault="009F2E09" w:rsidP="009F2E09">
      <w:pPr>
        <w:jc w:val="both"/>
        <w:rPr>
          <w:rFonts w:ascii="Calibri" w:hAnsi="Calibri"/>
          <w:b/>
        </w:rPr>
      </w:pPr>
      <w:r w:rsidRPr="0021259C">
        <w:rPr>
          <w:rFonts w:ascii="Calibri" w:hAnsi="Calibri"/>
          <w:b/>
        </w:rPr>
        <w:t>Dotyczy CT</w:t>
      </w:r>
    </w:p>
    <w:p w:rsidR="009F2E09" w:rsidRPr="0021259C" w:rsidRDefault="009F2E09" w:rsidP="009F2E09">
      <w:pPr>
        <w:jc w:val="both"/>
        <w:rPr>
          <w:rFonts w:ascii="Calibri" w:hAnsi="Calibri"/>
          <w:b/>
        </w:rPr>
      </w:pPr>
    </w:p>
    <w:p w:rsidR="009F2E09" w:rsidRPr="0021259C" w:rsidRDefault="009F2E09" w:rsidP="009F2E09">
      <w:pPr>
        <w:jc w:val="both"/>
        <w:rPr>
          <w:rFonts w:ascii="Calibri" w:eastAsia="Calibri" w:hAnsi="Calibri"/>
          <w:b/>
          <w:sz w:val="22"/>
          <w:szCs w:val="22"/>
          <w:lang w:eastAsia="en-US"/>
        </w:rPr>
      </w:pPr>
      <w:r w:rsidRPr="0021259C">
        <w:rPr>
          <w:rFonts w:ascii="Calibri" w:hAnsi="Calibri"/>
          <w:b/>
          <w:sz w:val="22"/>
          <w:szCs w:val="22"/>
        </w:rPr>
        <w:t>Pytanie nr 1</w:t>
      </w:r>
      <w:r w:rsidRPr="0021259C">
        <w:rPr>
          <w:rFonts w:ascii="Calibri" w:eastAsia="Calibri" w:hAnsi="Calibri"/>
          <w:b/>
          <w:sz w:val="22"/>
          <w:szCs w:val="22"/>
          <w:lang w:eastAsia="en-US"/>
        </w:rPr>
        <w:t xml:space="preserve"> </w:t>
      </w: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Załącznik nr 1 – Oferta techniczna, CT, Wyposażenie, pkt. 51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p>
    <w:p w:rsidR="009F2E09" w:rsidRPr="0021259C" w:rsidRDefault="009F2E09" w:rsidP="00B64946">
      <w:pPr>
        <w:jc w:val="both"/>
        <w:rPr>
          <w:rFonts w:ascii="Calibri" w:eastAsia="Calibri" w:hAnsi="Calibri"/>
          <w:sz w:val="22"/>
          <w:szCs w:val="22"/>
        </w:rPr>
      </w:pPr>
      <w:r w:rsidRPr="0021259C">
        <w:rPr>
          <w:rFonts w:ascii="Calibri" w:eastAsia="Calibri" w:hAnsi="Calibri"/>
          <w:sz w:val="22"/>
          <w:szCs w:val="22"/>
        </w:rPr>
        <w:t xml:space="preserve">Zamawiający wymaga dostarczenia automatycznego dwugłowicowego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kontrastu. Czy to znaczy, że Zamawiający wymaga urządzenia dwutłokowego, które pracuje na wymiennych pustych wkładach do których zaciąga się kontrast lub roztwór soli fizjologicznej ?</w:t>
      </w:r>
    </w:p>
    <w:p w:rsidR="009F2E09" w:rsidRPr="0021259C" w:rsidRDefault="009F2E09" w:rsidP="00B64946">
      <w:pPr>
        <w:jc w:val="both"/>
        <w:rPr>
          <w:rFonts w:ascii="Calibri" w:eastAsia="Calibri" w:hAnsi="Calibri"/>
          <w:b/>
          <w:sz w:val="22"/>
          <w:szCs w:val="22"/>
          <w:lang w:eastAsia="en-US"/>
        </w:rPr>
      </w:pPr>
      <w:r w:rsidRPr="0021259C">
        <w:rPr>
          <w:rFonts w:ascii="Calibri" w:hAnsi="Calibri"/>
          <w:b/>
          <w:sz w:val="22"/>
          <w:szCs w:val="22"/>
        </w:rPr>
        <w:t>Pytanie nr 2</w:t>
      </w:r>
      <w:r w:rsidRPr="0021259C">
        <w:rPr>
          <w:rFonts w:ascii="Calibri" w:eastAsia="Calibri" w:hAnsi="Calibri"/>
          <w:b/>
          <w:sz w:val="22"/>
          <w:szCs w:val="22"/>
          <w:lang w:eastAsia="en-US"/>
        </w:rPr>
        <w:t xml:space="preserve"> </w:t>
      </w: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Załącznik nr 1 – Oferta techniczna, CT, Wyposażenie, pkt. 51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Czy Zamawiający wymaga aby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kontrastu pracował na materiałach zużywalnych (w tym wkładach) pozbawionych:</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1.  </w:t>
      </w:r>
      <w:proofErr w:type="spellStart"/>
      <w:r w:rsidRPr="0021259C">
        <w:rPr>
          <w:rFonts w:ascii="Calibri" w:eastAsia="Calibri" w:hAnsi="Calibri"/>
          <w:sz w:val="22"/>
          <w:szCs w:val="22"/>
        </w:rPr>
        <w:t>ftalanów</w:t>
      </w:r>
      <w:proofErr w:type="spellEnd"/>
      <w:r w:rsidRPr="0021259C">
        <w:rPr>
          <w:rFonts w:ascii="Calibri" w:eastAsia="Calibri" w:hAnsi="Calibri"/>
          <w:sz w:val="22"/>
          <w:szCs w:val="22"/>
        </w:rPr>
        <w:t xml:space="preserve"> dwu-2-etyloheksylowego (DEHP), </w:t>
      </w:r>
      <w:proofErr w:type="spellStart"/>
      <w:r w:rsidRPr="0021259C">
        <w:rPr>
          <w:rFonts w:ascii="Calibri" w:eastAsia="Calibri" w:hAnsi="Calibri"/>
          <w:sz w:val="22"/>
          <w:szCs w:val="22"/>
        </w:rPr>
        <w:t>ftalanów</w:t>
      </w:r>
      <w:proofErr w:type="spellEnd"/>
      <w:r w:rsidRPr="0021259C">
        <w:rPr>
          <w:rFonts w:ascii="Calibri" w:eastAsia="Calibri" w:hAnsi="Calibri"/>
          <w:sz w:val="22"/>
          <w:szCs w:val="22"/>
        </w:rPr>
        <w:t xml:space="preserve"> </w:t>
      </w:r>
      <w:proofErr w:type="spellStart"/>
      <w:r w:rsidRPr="0021259C">
        <w:rPr>
          <w:rFonts w:ascii="Calibri" w:eastAsia="Calibri" w:hAnsi="Calibri"/>
          <w:sz w:val="22"/>
          <w:szCs w:val="22"/>
        </w:rPr>
        <w:t>dioktylu</w:t>
      </w:r>
      <w:proofErr w:type="spellEnd"/>
      <w:r w:rsidRPr="0021259C">
        <w:rPr>
          <w:rFonts w:ascii="Calibri" w:eastAsia="Calibri" w:hAnsi="Calibri"/>
          <w:sz w:val="22"/>
          <w:szCs w:val="22"/>
        </w:rPr>
        <w:t xml:space="preserve"> (DOP) </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2.  lateksu </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3.  Pirogenów ?</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Spełnienie wymogów poświadczone oświadczeniem producenta materiałów zużywalnych i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kontrastu</w:t>
      </w:r>
      <w:r w:rsidRPr="0021259C">
        <w:rPr>
          <w:rFonts w:ascii="Calibri" w:eastAsia="Calibri" w:hAnsi="Calibri"/>
          <w:sz w:val="22"/>
          <w:szCs w:val="22"/>
        </w:rPr>
        <w:br/>
      </w:r>
      <w:r w:rsidRPr="0021259C">
        <w:rPr>
          <w:rFonts w:ascii="Calibri" w:eastAsia="Calibri" w:hAnsi="Calibri"/>
          <w:b/>
          <w:bCs/>
          <w:sz w:val="22"/>
          <w:szCs w:val="22"/>
        </w:rPr>
        <w:t>Uzasadnienie:</w:t>
      </w:r>
      <w:r w:rsidRPr="0021259C">
        <w:rPr>
          <w:rFonts w:ascii="Calibri" w:eastAsia="Calibri" w:hAnsi="Calibri"/>
          <w:sz w:val="22"/>
          <w:szCs w:val="22"/>
        </w:rPr>
        <w:t xml:space="preserve"> </w:t>
      </w:r>
      <w:r w:rsidRPr="0021259C">
        <w:rPr>
          <w:rFonts w:ascii="Calibri" w:eastAsia="Calibri" w:hAnsi="Calibri"/>
          <w:sz w:val="22"/>
          <w:szCs w:val="22"/>
        </w:rPr>
        <w:br/>
        <w:t>Brak poniższych substancji ma duże znaczenie dla pacjentów:</w:t>
      </w:r>
    </w:p>
    <w:p w:rsidR="009F2E09" w:rsidRPr="0021259C" w:rsidRDefault="009F2E09" w:rsidP="009F2E09">
      <w:pPr>
        <w:numPr>
          <w:ilvl w:val="0"/>
          <w:numId w:val="4"/>
        </w:numPr>
        <w:ind w:left="284" w:hanging="284"/>
        <w:jc w:val="both"/>
        <w:rPr>
          <w:rFonts w:ascii="Calibri" w:eastAsia="Calibri" w:hAnsi="Calibri"/>
          <w:sz w:val="22"/>
          <w:szCs w:val="22"/>
        </w:rPr>
      </w:pPr>
      <w:proofErr w:type="spellStart"/>
      <w:r w:rsidRPr="0021259C">
        <w:rPr>
          <w:rFonts w:ascii="Calibri" w:eastAsia="Calibri" w:hAnsi="Calibri"/>
          <w:sz w:val="22"/>
          <w:szCs w:val="22"/>
        </w:rPr>
        <w:t>ftalany</w:t>
      </w:r>
      <w:proofErr w:type="spellEnd"/>
      <w:r w:rsidRPr="0021259C">
        <w:rPr>
          <w:rFonts w:ascii="Calibri" w:eastAsia="Calibri" w:hAnsi="Calibri"/>
          <w:sz w:val="22"/>
          <w:szCs w:val="22"/>
        </w:rPr>
        <w:t xml:space="preserve"> dwu-2-etyloheksylowego (DEHP), </w:t>
      </w:r>
      <w:proofErr w:type="spellStart"/>
      <w:r w:rsidRPr="0021259C">
        <w:rPr>
          <w:rFonts w:ascii="Calibri" w:eastAsia="Calibri" w:hAnsi="Calibri"/>
          <w:sz w:val="22"/>
          <w:szCs w:val="22"/>
        </w:rPr>
        <w:t>ftalany</w:t>
      </w:r>
      <w:proofErr w:type="spellEnd"/>
      <w:r w:rsidRPr="0021259C">
        <w:rPr>
          <w:rFonts w:ascii="Calibri" w:eastAsia="Calibri" w:hAnsi="Calibri"/>
          <w:sz w:val="22"/>
          <w:szCs w:val="22"/>
        </w:rPr>
        <w:t xml:space="preserve"> </w:t>
      </w:r>
      <w:proofErr w:type="spellStart"/>
      <w:r w:rsidRPr="0021259C">
        <w:rPr>
          <w:rFonts w:ascii="Calibri" w:eastAsia="Calibri" w:hAnsi="Calibri"/>
          <w:sz w:val="22"/>
          <w:szCs w:val="22"/>
        </w:rPr>
        <w:t>dioktylu</w:t>
      </w:r>
      <w:proofErr w:type="spellEnd"/>
      <w:r w:rsidRPr="0021259C">
        <w:rPr>
          <w:rFonts w:ascii="Calibri" w:eastAsia="Calibri" w:hAnsi="Calibri"/>
          <w:sz w:val="22"/>
          <w:szCs w:val="22"/>
        </w:rPr>
        <w:t xml:space="preserve"> (DOP) – Brak tych substancji jest szczególnie ważny dla kobiet w ciąży i dzieci,</w:t>
      </w:r>
    </w:p>
    <w:p w:rsidR="009F2E09" w:rsidRPr="0021259C" w:rsidRDefault="009F2E09" w:rsidP="009F2E09">
      <w:pPr>
        <w:numPr>
          <w:ilvl w:val="0"/>
          <w:numId w:val="4"/>
        </w:numPr>
        <w:ind w:left="284" w:hanging="284"/>
        <w:jc w:val="both"/>
        <w:rPr>
          <w:rFonts w:ascii="Calibri" w:eastAsia="Calibri" w:hAnsi="Calibri"/>
          <w:sz w:val="22"/>
          <w:szCs w:val="22"/>
        </w:rPr>
      </w:pPr>
      <w:r w:rsidRPr="0021259C">
        <w:rPr>
          <w:rFonts w:ascii="Calibri" w:eastAsia="Calibri" w:hAnsi="Calibri"/>
          <w:sz w:val="22"/>
          <w:szCs w:val="22"/>
        </w:rPr>
        <w:t>lateks – jego obecność jest niebezpieczna dla pacjentów z alergią na lateks,</w:t>
      </w:r>
    </w:p>
    <w:p w:rsidR="009F2E09" w:rsidRPr="0021259C" w:rsidRDefault="009F2E09" w:rsidP="009F2E09">
      <w:pPr>
        <w:numPr>
          <w:ilvl w:val="0"/>
          <w:numId w:val="4"/>
        </w:numPr>
        <w:ind w:left="284" w:hanging="284"/>
        <w:jc w:val="both"/>
        <w:rPr>
          <w:rFonts w:ascii="Calibri" w:eastAsia="Calibri" w:hAnsi="Calibri"/>
          <w:sz w:val="22"/>
          <w:szCs w:val="22"/>
        </w:rPr>
      </w:pPr>
      <w:r w:rsidRPr="0021259C">
        <w:rPr>
          <w:rFonts w:ascii="Calibri" w:eastAsia="Calibri" w:hAnsi="Calibri"/>
          <w:sz w:val="22"/>
          <w:szCs w:val="22"/>
        </w:rPr>
        <w:t>pirogeny – substancje te oddziaływają na ośrodek termoregulacyjny i przestawiają biologiczny wzorzec temperatury ciała?</w:t>
      </w:r>
    </w:p>
    <w:p w:rsidR="009F2E09" w:rsidRPr="00C42A27" w:rsidRDefault="009F2E09" w:rsidP="009F2E09">
      <w:pPr>
        <w:jc w:val="both"/>
        <w:rPr>
          <w:rFonts w:ascii="Calibri" w:eastAsia="Calibri" w:hAnsi="Calibri"/>
          <w:b/>
          <w:sz w:val="22"/>
          <w:szCs w:val="22"/>
          <w:lang w:eastAsia="en-US"/>
        </w:rPr>
      </w:pPr>
      <w:r w:rsidRPr="00C42A27">
        <w:rPr>
          <w:rFonts w:ascii="Calibri" w:hAnsi="Calibri"/>
          <w:b/>
          <w:sz w:val="22"/>
          <w:szCs w:val="22"/>
        </w:rPr>
        <w:t>Pyta</w:t>
      </w:r>
      <w:r>
        <w:rPr>
          <w:rFonts w:ascii="Calibri" w:hAnsi="Calibri"/>
          <w:b/>
          <w:sz w:val="22"/>
          <w:szCs w:val="22"/>
        </w:rPr>
        <w:t>nie nr 3</w:t>
      </w:r>
      <w:r w:rsidRPr="00C42A27">
        <w:rPr>
          <w:rFonts w:ascii="Calibri" w:eastAsia="Calibri" w:hAnsi="Calibri"/>
          <w:b/>
          <w:sz w:val="22"/>
          <w:szCs w:val="22"/>
          <w:lang w:eastAsia="en-US"/>
        </w:rPr>
        <w:t xml:space="preserve"> </w:t>
      </w:r>
    </w:p>
    <w:p w:rsidR="009F2E09" w:rsidRPr="0021259C" w:rsidRDefault="009F2E09" w:rsidP="009F2E09">
      <w:pPr>
        <w:jc w:val="both"/>
        <w:rPr>
          <w:rFonts w:ascii="Calibri" w:eastAsia="Calibri" w:hAnsi="Calibri"/>
          <w:sz w:val="22"/>
          <w:szCs w:val="22"/>
        </w:rPr>
      </w:pPr>
      <w:r w:rsidRPr="0021259C">
        <w:rPr>
          <w:rFonts w:ascii="Calibri" w:eastAsia="Calibri" w:hAnsi="Calibri"/>
          <w:b/>
          <w:sz w:val="22"/>
          <w:szCs w:val="22"/>
        </w:rPr>
        <w:t>Dotyczy: Załącznik nr 1 – Oferta techniczna, CT, Wyposażenie, pkt. 51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r w:rsidRPr="0021259C">
        <w:rPr>
          <w:rFonts w:ascii="Calibri" w:eastAsia="Calibri" w:hAnsi="Calibri"/>
          <w:sz w:val="22"/>
          <w:szCs w:val="22"/>
        </w:rPr>
        <w:br/>
        <w:t xml:space="preserve">Czy Zamawiający będzie oczekiwał aby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kontrastu pracował w pełni bezprzewodowo (zasilanie akumulatorowe oraz bezprzewodowa łączność strzykawki z ekranem zdalnym w sterowni)?</w:t>
      </w:r>
      <w:r w:rsidRPr="0021259C">
        <w:rPr>
          <w:rFonts w:ascii="Calibri" w:eastAsia="Calibri" w:hAnsi="Calibri"/>
          <w:sz w:val="22"/>
          <w:szCs w:val="22"/>
        </w:rPr>
        <w:br/>
      </w:r>
      <w:r w:rsidRPr="0021259C">
        <w:rPr>
          <w:rFonts w:ascii="Calibri" w:eastAsia="Calibri" w:hAnsi="Calibri"/>
          <w:b/>
          <w:bCs/>
          <w:sz w:val="22"/>
          <w:szCs w:val="22"/>
        </w:rPr>
        <w:t xml:space="preserve">Uzasadnienie: </w:t>
      </w:r>
      <w:r w:rsidRPr="0021259C">
        <w:rPr>
          <w:rFonts w:ascii="Calibri" w:eastAsia="Calibri" w:hAnsi="Calibri"/>
          <w:b/>
          <w:bCs/>
          <w:sz w:val="22"/>
          <w:szCs w:val="22"/>
        </w:rPr>
        <w:br/>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którego praca nie jest w pełni bezprzewodowa wpłynie na pracę Zamawiającego gdyż:</w:t>
      </w:r>
      <w:r w:rsidRPr="0021259C">
        <w:rPr>
          <w:rFonts w:ascii="Calibri" w:eastAsia="Calibri" w:hAnsi="Calibri"/>
          <w:sz w:val="22"/>
          <w:szCs w:val="22"/>
        </w:rPr>
        <w:br/>
        <w:t xml:space="preserve">- nie będzie mógł przemieszczać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w dowolne miejsce</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 będzie musiał przykładać dodatkową uwagę do tego, żeby nie spowodować awarii poprzez zahaczenie nogami o kabel </w:t>
      </w:r>
      <w:proofErr w:type="spellStart"/>
      <w:r w:rsidRPr="0021259C">
        <w:rPr>
          <w:rFonts w:ascii="Calibri" w:eastAsia="Calibri" w:hAnsi="Calibri"/>
          <w:sz w:val="22"/>
          <w:szCs w:val="22"/>
        </w:rPr>
        <w:t>wstrzykiwacza</w:t>
      </w:r>
      <w:proofErr w:type="spellEnd"/>
    </w:p>
    <w:p w:rsidR="009F2E09" w:rsidRPr="0021259C" w:rsidRDefault="009F2E09" w:rsidP="00B64946">
      <w:pPr>
        <w:spacing w:line="276" w:lineRule="auto"/>
        <w:jc w:val="both"/>
        <w:rPr>
          <w:rFonts w:ascii="Calibri" w:eastAsia="Calibri" w:hAnsi="Calibri"/>
          <w:sz w:val="22"/>
          <w:szCs w:val="22"/>
        </w:rPr>
      </w:pPr>
      <w:r w:rsidRPr="0021259C">
        <w:rPr>
          <w:rFonts w:ascii="Calibri" w:eastAsia="Calibri" w:hAnsi="Calibri"/>
          <w:sz w:val="22"/>
          <w:szCs w:val="22"/>
        </w:rPr>
        <w:t>- będzie mieć utrudnioną pracę z pacjentami na wjeżdżającymi na salę na wózkach szpitalnych.</w:t>
      </w:r>
    </w:p>
    <w:p w:rsidR="009F2E09" w:rsidRPr="00C42A27" w:rsidRDefault="009F2E09" w:rsidP="00B64946">
      <w:pPr>
        <w:jc w:val="both"/>
        <w:rPr>
          <w:rFonts w:ascii="Calibri" w:eastAsia="Calibri" w:hAnsi="Calibri"/>
          <w:b/>
          <w:sz w:val="22"/>
          <w:szCs w:val="22"/>
          <w:lang w:eastAsia="en-US"/>
        </w:rPr>
      </w:pPr>
      <w:r w:rsidRPr="00C42A27">
        <w:rPr>
          <w:rFonts w:ascii="Calibri" w:hAnsi="Calibri"/>
          <w:b/>
          <w:sz w:val="22"/>
          <w:szCs w:val="22"/>
        </w:rPr>
        <w:t>Pyta</w:t>
      </w:r>
      <w:r>
        <w:rPr>
          <w:rFonts w:ascii="Calibri" w:hAnsi="Calibri"/>
          <w:b/>
          <w:sz w:val="22"/>
          <w:szCs w:val="22"/>
        </w:rPr>
        <w:t>nie nr 4</w:t>
      </w:r>
      <w:r w:rsidRPr="00C42A27">
        <w:rPr>
          <w:rFonts w:ascii="Calibri" w:eastAsia="Calibri" w:hAnsi="Calibri"/>
          <w:b/>
          <w:sz w:val="22"/>
          <w:szCs w:val="22"/>
          <w:lang w:eastAsia="en-US"/>
        </w:rPr>
        <w:t xml:space="preserve"> </w:t>
      </w:r>
    </w:p>
    <w:p w:rsidR="009F2E09" w:rsidRPr="0021259C" w:rsidRDefault="009F2E09" w:rsidP="009F2E09">
      <w:pPr>
        <w:jc w:val="both"/>
        <w:rPr>
          <w:rFonts w:ascii="Calibri" w:eastAsia="Calibri" w:hAnsi="Calibri"/>
          <w:sz w:val="22"/>
          <w:szCs w:val="22"/>
        </w:rPr>
      </w:pPr>
      <w:r w:rsidRPr="0021259C">
        <w:rPr>
          <w:rFonts w:ascii="Calibri" w:eastAsia="Calibri" w:hAnsi="Calibri"/>
          <w:b/>
          <w:sz w:val="22"/>
          <w:szCs w:val="22"/>
        </w:rPr>
        <w:t>Dotyczy: Załącznik nr 1 – Oferta techniczna, CT, Wyposażenie, pkt. 51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r w:rsidRPr="0021259C">
        <w:rPr>
          <w:rFonts w:ascii="Calibri" w:eastAsia="Calibri" w:hAnsi="Calibri"/>
          <w:sz w:val="22"/>
          <w:szCs w:val="22"/>
        </w:rPr>
        <w:br/>
        <w:t xml:space="preserve">Czy Zamawiający będzie wymagał aby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kontrastu był wyposażony w funkcję trybu kroplowego (KVO- </w:t>
      </w:r>
      <w:proofErr w:type="spellStart"/>
      <w:r w:rsidRPr="0021259C">
        <w:rPr>
          <w:rFonts w:ascii="Calibri" w:eastAsia="Calibri" w:hAnsi="Calibri"/>
          <w:sz w:val="22"/>
          <w:szCs w:val="22"/>
        </w:rPr>
        <w:t>Keep</w:t>
      </w:r>
      <w:proofErr w:type="spellEnd"/>
      <w:r w:rsidRPr="0021259C">
        <w:rPr>
          <w:rFonts w:ascii="Calibri" w:eastAsia="Calibri" w:hAnsi="Calibri"/>
          <w:sz w:val="22"/>
          <w:szCs w:val="22"/>
        </w:rPr>
        <w:t xml:space="preserve"> </w:t>
      </w:r>
      <w:proofErr w:type="spellStart"/>
      <w:r w:rsidRPr="0021259C">
        <w:rPr>
          <w:rFonts w:ascii="Calibri" w:eastAsia="Calibri" w:hAnsi="Calibri"/>
          <w:sz w:val="22"/>
          <w:szCs w:val="22"/>
        </w:rPr>
        <w:t>Vein</w:t>
      </w:r>
      <w:proofErr w:type="spellEnd"/>
      <w:r w:rsidRPr="0021259C">
        <w:rPr>
          <w:rFonts w:ascii="Calibri" w:eastAsia="Calibri" w:hAnsi="Calibri"/>
          <w:sz w:val="22"/>
          <w:szCs w:val="22"/>
        </w:rPr>
        <w:t xml:space="preserve"> Open), która polega na utrzymywania drożności żył poprzez wstrzykiwanie 1 ml soli fizjologicznej co 2 minuty ?</w:t>
      </w:r>
    </w:p>
    <w:p w:rsidR="009F2E09" w:rsidRPr="0021259C" w:rsidRDefault="009F2E09" w:rsidP="00B64946">
      <w:pPr>
        <w:spacing w:line="276" w:lineRule="auto"/>
        <w:jc w:val="both"/>
        <w:rPr>
          <w:rFonts w:ascii="Calibri" w:eastAsia="Calibri" w:hAnsi="Calibri"/>
          <w:b/>
          <w:sz w:val="22"/>
          <w:szCs w:val="22"/>
        </w:rPr>
      </w:pPr>
      <w:r w:rsidRPr="0021259C">
        <w:rPr>
          <w:rFonts w:ascii="Calibri" w:eastAsia="Calibri" w:hAnsi="Calibri"/>
          <w:b/>
          <w:bCs/>
          <w:sz w:val="22"/>
          <w:szCs w:val="22"/>
        </w:rPr>
        <w:t>Uzasadnienie</w:t>
      </w:r>
      <w:r w:rsidRPr="0021259C">
        <w:rPr>
          <w:rFonts w:ascii="Calibri" w:eastAsia="Calibri" w:hAnsi="Calibri"/>
          <w:sz w:val="22"/>
          <w:szCs w:val="22"/>
        </w:rPr>
        <w:t>: Funkcja utrzymywania drożności żył ma bardzo duże przełożenie na komfort i bezpieczeństwo pacjentów podczas zabiegu.</w:t>
      </w:r>
    </w:p>
    <w:p w:rsidR="009F2E09" w:rsidRPr="00C42A27" w:rsidRDefault="009F2E09" w:rsidP="00B64946">
      <w:pPr>
        <w:jc w:val="both"/>
        <w:rPr>
          <w:rFonts w:ascii="Calibri" w:eastAsia="Calibri" w:hAnsi="Calibri"/>
          <w:b/>
          <w:sz w:val="22"/>
          <w:szCs w:val="22"/>
          <w:lang w:eastAsia="en-US"/>
        </w:rPr>
      </w:pPr>
      <w:r w:rsidRPr="00C42A27">
        <w:rPr>
          <w:rFonts w:ascii="Calibri" w:hAnsi="Calibri"/>
          <w:b/>
          <w:sz w:val="22"/>
          <w:szCs w:val="22"/>
        </w:rPr>
        <w:t>Pyta</w:t>
      </w:r>
      <w:r>
        <w:rPr>
          <w:rFonts w:ascii="Calibri" w:hAnsi="Calibri"/>
          <w:b/>
          <w:sz w:val="22"/>
          <w:szCs w:val="22"/>
        </w:rPr>
        <w:t>nie nr 5</w:t>
      </w:r>
    </w:p>
    <w:p w:rsidR="009F2E09" w:rsidRPr="0021259C" w:rsidRDefault="009F2E09" w:rsidP="009F2E09">
      <w:pPr>
        <w:jc w:val="both"/>
        <w:rPr>
          <w:rFonts w:ascii="Calibri" w:eastAsia="Calibri" w:hAnsi="Calibri"/>
          <w:sz w:val="22"/>
          <w:szCs w:val="22"/>
        </w:rPr>
      </w:pPr>
      <w:r w:rsidRPr="0021259C">
        <w:rPr>
          <w:rFonts w:ascii="Calibri" w:eastAsia="Calibri" w:hAnsi="Calibri"/>
          <w:b/>
          <w:sz w:val="22"/>
          <w:szCs w:val="22"/>
        </w:rPr>
        <w:t>Dotyczy: Załącznik nr 1 – Oferta techniczna, CT, Wyposażenie, pkt. 51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r w:rsidRPr="0021259C">
        <w:rPr>
          <w:rFonts w:ascii="Calibri" w:eastAsia="Calibri" w:hAnsi="Calibri"/>
          <w:sz w:val="22"/>
          <w:szCs w:val="22"/>
        </w:rPr>
        <w:br/>
        <w:t xml:space="preserve">Czy Zamawiający będzie oczekiwał aby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kontrastu posiadał poza zdalnym ekranem sterującym dodatkowy kolorowy dotykowy ekran sterujący wbudowany w obudowę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kontrastu? </w:t>
      </w:r>
      <w:r w:rsidRPr="0021259C">
        <w:rPr>
          <w:rFonts w:ascii="Calibri" w:eastAsia="Calibri" w:hAnsi="Calibri"/>
          <w:sz w:val="22"/>
          <w:szCs w:val="22"/>
        </w:rPr>
        <w:br/>
        <w:t xml:space="preserve">Dzięki posiadaniu 2 dotykowych kolorowych ekranów sterujących LCD (jeden wbudowany w strzykawkę, drugi zdalny ekran sterujący LCD przy konsoli CT) </w:t>
      </w:r>
      <w:r w:rsidRPr="0021259C">
        <w:rPr>
          <w:rFonts w:ascii="Calibri" w:eastAsia="Calibri" w:hAnsi="Calibri"/>
          <w:b/>
          <w:bCs/>
          <w:sz w:val="22"/>
          <w:szCs w:val="22"/>
        </w:rPr>
        <w:t>Zamawiający zyskuje</w:t>
      </w:r>
      <w:r w:rsidRPr="0021259C">
        <w:rPr>
          <w:rFonts w:ascii="Calibri" w:eastAsia="Calibri" w:hAnsi="Calibri"/>
          <w:sz w:val="22"/>
          <w:szCs w:val="22"/>
        </w:rPr>
        <w:t>:</w:t>
      </w:r>
    </w:p>
    <w:p w:rsidR="009F2E09" w:rsidRPr="0021259C" w:rsidRDefault="009F2E09" w:rsidP="009F2E09">
      <w:pPr>
        <w:numPr>
          <w:ilvl w:val="0"/>
          <w:numId w:val="1"/>
        </w:numPr>
        <w:suppressAutoHyphens w:val="0"/>
        <w:snapToGrid w:val="0"/>
        <w:ind w:left="284" w:hanging="284"/>
        <w:jc w:val="both"/>
        <w:rPr>
          <w:rFonts w:ascii="Calibri" w:eastAsia="Calibri" w:hAnsi="Calibri"/>
          <w:sz w:val="22"/>
          <w:szCs w:val="22"/>
          <w:lang w:eastAsia="en-US"/>
        </w:rPr>
      </w:pPr>
      <w:r w:rsidRPr="0021259C">
        <w:rPr>
          <w:rFonts w:ascii="Calibri" w:eastAsia="Calibri" w:hAnsi="Calibri"/>
          <w:sz w:val="22"/>
          <w:szCs w:val="22"/>
        </w:rPr>
        <w:t xml:space="preserve">możliwość programowania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zarówno na ekranie zdalnym umieszczonym przy konsoli CT jaki i możliwość programowania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na ekranie wbudowanym w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przy pacjencie.</w:t>
      </w:r>
    </w:p>
    <w:p w:rsidR="009F2E09" w:rsidRPr="0021259C" w:rsidRDefault="009F2E09" w:rsidP="009F2E09">
      <w:pPr>
        <w:numPr>
          <w:ilvl w:val="0"/>
          <w:numId w:val="1"/>
        </w:numPr>
        <w:suppressAutoHyphens w:val="0"/>
        <w:snapToGrid w:val="0"/>
        <w:ind w:left="284" w:hanging="284"/>
        <w:jc w:val="both"/>
        <w:rPr>
          <w:rFonts w:ascii="Calibri" w:eastAsia="Calibri" w:hAnsi="Calibri"/>
          <w:sz w:val="22"/>
          <w:szCs w:val="22"/>
        </w:rPr>
      </w:pPr>
      <w:r w:rsidRPr="0021259C">
        <w:rPr>
          <w:rFonts w:ascii="Calibri" w:eastAsia="Calibri" w:hAnsi="Calibri"/>
          <w:sz w:val="22"/>
          <w:szCs w:val="22"/>
        </w:rPr>
        <w:lastRenderedPageBreak/>
        <w:t xml:space="preserve">ekran wbudowany we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powoduje, że procedura napełniania wkładów kontrastem i solą fizjologiczną jest szybsza i prostsza.</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Proponowane rozwiązanie występuję u różnych producentów nowoczesnych systemów do podawania kontrastu zatem Zamawiający wymagając powyższego nie narusza zasad uczciwej konkurencji.</w:t>
      </w:r>
    </w:p>
    <w:p w:rsidR="009F2E09" w:rsidRPr="00C42A27" w:rsidRDefault="009F2E09" w:rsidP="009F2E09">
      <w:pPr>
        <w:jc w:val="both"/>
        <w:rPr>
          <w:rFonts w:ascii="Calibri" w:eastAsia="Calibri" w:hAnsi="Calibri"/>
          <w:b/>
          <w:sz w:val="22"/>
          <w:szCs w:val="22"/>
          <w:lang w:eastAsia="en-US"/>
        </w:rPr>
      </w:pPr>
      <w:r w:rsidRPr="00C42A27">
        <w:rPr>
          <w:rFonts w:ascii="Calibri" w:hAnsi="Calibri"/>
          <w:b/>
          <w:sz w:val="22"/>
          <w:szCs w:val="22"/>
        </w:rPr>
        <w:t>Pyta</w:t>
      </w:r>
      <w:r>
        <w:rPr>
          <w:rFonts w:ascii="Calibri" w:hAnsi="Calibri"/>
          <w:b/>
          <w:sz w:val="22"/>
          <w:szCs w:val="22"/>
        </w:rPr>
        <w:t>nie nr 6</w:t>
      </w:r>
    </w:p>
    <w:p w:rsidR="009F2E09" w:rsidRPr="0021259C" w:rsidRDefault="009F2E09" w:rsidP="009F2E09">
      <w:pPr>
        <w:spacing w:line="276" w:lineRule="auto"/>
        <w:jc w:val="both"/>
        <w:rPr>
          <w:rFonts w:ascii="Calibri" w:hAnsi="Calibri" w:cs="Arial"/>
          <w:sz w:val="22"/>
          <w:szCs w:val="22"/>
          <w:lang w:eastAsia="pl-PL"/>
        </w:rPr>
      </w:pPr>
      <w:r w:rsidRPr="0021259C">
        <w:rPr>
          <w:rFonts w:ascii="Calibri" w:eastAsia="Calibri" w:hAnsi="Calibri"/>
          <w:b/>
          <w:sz w:val="22"/>
          <w:szCs w:val="22"/>
        </w:rPr>
        <w:t>Dotyczy: Załącznik nr 1 – Oferta techniczna, CT, Wyposażenie, pkt. 51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r w:rsidRPr="0021259C">
        <w:rPr>
          <w:rFonts w:ascii="Calibri" w:eastAsia="Calibri" w:hAnsi="Calibri"/>
          <w:sz w:val="22"/>
          <w:szCs w:val="22"/>
        </w:rPr>
        <w:br/>
      </w:r>
      <w:r w:rsidRPr="0021259C">
        <w:rPr>
          <w:rFonts w:ascii="Calibri" w:hAnsi="Calibri" w:cs="Arial"/>
          <w:sz w:val="22"/>
          <w:szCs w:val="22"/>
          <w:lang w:eastAsia="pl-PL"/>
        </w:rPr>
        <w:t xml:space="preserve">Czy Zamawiający będzie oczekiwał dostarczenia </w:t>
      </w:r>
      <w:proofErr w:type="spellStart"/>
      <w:r w:rsidRPr="0021259C">
        <w:rPr>
          <w:rFonts w:ascii="Calibri" w:hAnsi="Calibri" w:cs="Arial"/>
          <w:sz w:val="22"/>
          <w:szCs w:val="22"/>
          <w:lang w:eastAsia="pl-PL"/>
        </w:rPr>
        <w:t>wstrzykiwacza</w:t>
      </w:r>
      <w:proofErr w:type="spellEnd"/>
      <w:r w:rsidRPr="0021259C">
        <w:rPr>
          <w:rFonts w:ascii="Calibri" w:hAnsi="Calibri" w:cs="Arial"/>
          <w:sz w:val="22"/>
          <w:szCs w:val="22"/>
          <w:lang w:eastAsia="pl-PL"/>
        </w:rPr>
        <w:t xml:space="preserve"> kontrastu, który posiada nie tylko możliwość podtrzymania temperatury środka kontrastowego ale również roztworu soli fizjologicznej ?</w:t>
      </w:r>
    </w:p>
    <w:p w:rsidR="009F2E09" w:rsidRPr="0021259C" w:rsidRDefault="009F2E09" w:rsidP="009F2E09">
      <w:pPr>
        <w:spacing w:line="276" w:lineRule="auto"/>
        <w:jc w:val="both"/>
        <w:rPr>
          <w:rFonts w:ascii="Calibri" w:eastAsia="Calibri" w:hAnsi="Calibri"/>
          <w:bCs/>
          <w:sz w:val="22"/>
          <w:szCs w:val="22"/>
        </w:rPr>
      </w:pPr>
      <w:r w:rsidRPr="0021259C">
        <w:rPr>
          <w:rFonts w:ascii="Calibri" w:hAnsi="Calibri" w:cs="Arial"/>
          <w:b/>
          <w:sz w:val="22"/>
          <w:szCs w:val="22"/>
          <w:lang w:eastAsia="pl-PL"/>
        </w:rPr>
        <w:t>Uzasadnienie:</w:t>
      </w:r>
      <w:r w:rsidRPr="0021259C">
        <w:rPr>
          <w:rFonts w:ascii="Calibri" w:hAnsi="Calibri" w:cs="Arial"/>
          <w:b/>
          <w:sz w:val="22"/>
          <w:szCs w:val="22"/>
          <w:lang w:eastAsia="pl-PL"/>
        </w:rPr>
        <w:br/>
      </w:r>
      <w:r w:rsidRPr="0021259C">
        <w:rPr>
          <w:rFonts w:ascii="Calibri" w:eastAsia="Calibri" w:hAnsi="Calibri"/>
          <w:bCs/>
          <w:sz w:val="22"/>
          <w:szCs w:val="22"/>
        </w:rPr>
        <w:t>Kontrast zgodnie z instrukcją producenta powinien być podgrzany do odpowiedniej temperatury gdyż:</w:t>
      </w:r>
    </w:p>
    <w:p w:rsidR="009F2E09" w:rsidRPr="0021259C" w:rsidRDefault="009F2E09" w:rsidP="009F2E09">
      <w:pPr>
        <w:suppressAutoHyphens w:val="0"/>
        <w:contextualSpacing/>
        <w:jc w:val="both"/>
        <w:rPr>
          <w:rFonts w:ascii="Calibri" w:eastAsia="Calibri" w:hAnsi="Calibri"/>
          <w:bCs/>
          <w:sz w:val="22"/>
          <w:szCs w:val="22"/>
          <w:lang w:eastAsia="en-US"/>
        </w:rPr>
      </w:pPr>
      <w:r w:rsidRPr="0021259C">
        <w:rPr>
          <w:rFonts w:ascii="Calibri" w:eastAsia="Calibri" w:hAnsi="Calibri"/>
          <w:bCs/>
          <w:sz w:val="22"/>
          <w:szCs w:val="22"/>
          <w:lang w:eastAsia="en-US"/>
        </w:rPr>
        <w:t>- zmniejsza wstrząs termiczny (np. jeżeli środek był przechowywany w lodówce);</w:t>
      </w:r>
    </w:p>
    <w:p w:rsidR="009F2E09" w:rsidRPr="0021259C" w:rsidRDefault="009F2E09" w:rsidP="009F2E09">
      <w:pPr>
        <w:suppressAutoHyphens w:val="0"/>
        <w:contextualSpacing/>
        <w:jc w:val="both"/>
        <w:rPr>
          <w:rFonts w:ascii="Calibri" w:eastAsia="Calibri" w:hAnsi="Calibri"/>
          <w:bCs/>
          <w:sz w:val="22"/>
          <w:szCs w:val="22"/>
          <w:lang w:eastAsia="en-US"/>
        </w:rPr>
      </w:pPr>
      <w:r w:rsidRPr="0021259C">
        <w:rPr>
          <w:rFonts w:ascii="Calibri" w:eastAsia="Calibri" w:hAnsi="Calibri"/>
          <w:bCs/>
          <w:sz w:val="22"/>
          <w:szCs w:val="22"/>
          <w:lang w:eastAsia="en-US"/>
        </w:rPr>
        <w:t>- znacząco obniża lepkość środka, ułatwiając w ten sposób jego iniekcję;</w:t>
      </w:r>
    </w:p>
    <w:p w:rsidR="009F2E09" w:rsidRPr="0021259C" w:rsidRDefault="009F2E09" w:rsidP="009F2E09">
      <w:pPr>
        <w:suppressAutoHyphens w:val="0"/>
        <w:contextualSpacing/>
        <w:jc w:val="both"/>
        <w:rPr>
          <w:rFonts w:ascii="Calibri" w:eastAsia="Calibri" w:hAnsi="Calibri"/>
          <w:bCs/>
          <w:sz w:val="22"/>
          <w:szCs w:val="22"/>
          <w:lang w:eastAsia="en-US"/>
        </w:rPr>
      </w:pPr>
      <w:r w:rsidRPr="0021259C">
        <w:rPr>
          <w:rFonts w:ascii="Calibri" w:eastAsia="Calibri" w:hAnsi="Calibri"/>
          <w:bCs/>
          <w:sz w:val="22"/>
          <w:szCs w:val="22"/>
          <w:lang w:eastAsia="en-US"/>
        </w:rPr>
        <w:t>- może zmniejszyć działania niepożądane – np. występowanie bólu czy uczucia gorąca.</w:t>
      </w:r>
    </w:p>
    <w:p w:rsidR="009F2E09" w:rsidRPr="0021259C" w:rsidRDefault="009F2E09" w:rsidP="009F2E09">
      <w:pPr>
        <w:jc w:val="both"/>
        <w:rPr>
          <w:rFonts w:ascii="Calibri" w:hAnsi="Calibri" w:cs="Arial"/>
          <w:b/>
          <w:sz w:val="22"/>
          <w:szCs w:val="22"/>
          <w:lang w:eastAsia="pl-PL"/>
        </w:rPr>
      </w:pPr>
      <w:r w:rsidRPr="0021259C">
        <w:rPr>
          <w:rFonts w:ascii="Calibri" w:eastAsia="Calibri" w:hAnsi="Calibri"/>
          <w:bCs/>
          <w:sz w:val="22"/>
          <w:szCs w:val="22"/>
        </w:rPr>
        <w:t xml:space="preserve">W przypadku mieszania kontrastu z solą fizjologiczną istotne jest aby dodatkowo </w:t>
      </w:r>
      <w:proofErr w:type="spellStart"/>
      <w:r w:rsidRPr="0021259C">
        <w:rPr>
          <w:rFonts w:ascii="Calibri" w:eastAsia="Calibri" w:hAnsi="Calibri"/>
          <w:bCs/>
          <w:sz w:val="22"/>
          <w:szCs w:val="22"/>
        </w:rPr>
        <w:t>wstrzykiwacz</w:t>
      </w:r>
      <w:proofErr w:type="spellEnd"/>
      <w:r w:rsidRPr="0021259C">
        <w:rPr>
          <w:rFonts w:ascii="Calibri" w:eastAsia="Calibri" w:hAnsi="Calibri"/>
          <w:bCs/>
          <w:sz w:val="22"/>
          <w:szCs w:val="22"/>
        </w:rPr>
        <w:t xml:space="preserve"> był wyposażony w ogrzewacz soli fizjologicznej. W innym wypadku zimna sól fizjologiczna obniży temperaturę kontrastu poniżej akceptowanego poziomu.</w:t>
      </w:r>
      <w:r w:rsidRPr="0021259C">
        <w:rPr>
          <w:rFonts w:ascii="Calibri" w:hAnsi="Calibri" w:cs="Arial"/>
          <w:b/>
          <w:sz w:val="22"/>
          <w:szCs w:val="22"/>
          <w:lang w:eastAsia="pl-PL"/>
        </w:rPr>
        <w:t xml:space="preserve"> </w:t>
      </w:r>
    </w:p>
    <w:p w:rsidR="009F2E09" w:rsidRPr="0021259C" w:rsidRDefault="009F2E09" w:rsidP="009F2E09">
      <w:pPr>
        <w:jc w:val="both"/>
        <w:rPr>
          <w:rFonts w:ascii="Calibri" w:eastAsia="Calibri" w:hAnsi="Calibri"/>
          <w:sz w:val="22"/>
          <w:szCs w:val="22"/>
        </w:rPr>
      </w:pP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MR</w:t>
      </w:r>
    </w:p>
    <w:p w:rsidR="009F2E09" w:rsidRPr="0021259C" w:rsidRDefault="009F2E09" w:rsidP="009F2E09">
      <w:pPr>
        <w:jc w:val="both"/>
        <w:rPr>
          <w:rFonts w:ascii="Calibri" w:eastAsia="Calibri" w:hAnsi="Calibri"/>
          <w:b/>
          <w:sz w:val="22"/>
          <w:szCs w:val="22"/>
        </w:rPr>
      </w:pP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Pytanie nr 7</w:t>
      </w: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Załącznik nr 1 – Oferta techniczna, MR, M. WYPOSAŻENIE DODATKOWE, WYMAGANIA DODATKOWE, pkt.226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Zamawiający wymaga dostarczenia dwugłowicowego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kontrastu. Czy to znaczy, że Zamawiający wymaga urządzenia dwutłokowego, które pracuje na wymiennych pustych wkładach do których zaciąga się kontrast lub roztwór soli fizjologicznej ?</w:t>
      </w:r>
    </w:p>
    <w:p w:rsidR="009F2E09" w:rsidRPr="00C42A27" w:rsidRDefault="009F2E09" w:rsidP="009F2E09">
      <w:pPr>
        <w:jc w:val="both"/>
        <w:rPr>
          <w:rFonts w:ascii="Calibri" w:eastAsia="Calibri" w:hAnsi="Calibri"/>
          <w:b/>
          <w:sz w:val="22"/>
          <w:szCs w:val="22"/>
        </w:rPr>
      </w:pPr>
      <w:r>
        <w:rPr>
          <w:rFonts w:ascii="Calibri" w:eastAsia="Calibri" w:hAnsi="Calibri"/>
          <w:b/>
          <w:sz w:val="22"/>
          <w:szCs w:val="22"/>
        </w:rPr>
        <w:t>Pytanie nr 8</w:t>
      </w: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Załącznik nr 1 – Oferta techniczna, MR, M. WYPOSAŻENIE DODATKOWE, WYMAGANIA DODATKOWE, pkt.226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Czy Zamawiający wymaga aby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kontrastu pracował na materiałach zużywalnych (w tym wkładach) pozbawionych:</w:t>
      </w:r>
    </w:p>
    <w:p w:rsidR="009F2E09" w:rsidRPr="0021259C" w:rsidRDefault="009F2E09" w:rsidP="009F2E09">
      <w:pPr>
        <w:numPr>
          <w:ilvl w:val="0"/>
          <w:numId w:val="7"/>
        </w:numPr>
        <w:jc w:val="both"/>
        <w:rPr>
          <w:rFonts w:ascii="Calibri" w:eastAsia="Calibri" w:hAnsi="Calibri"/>
          <w:sz w:val="22"/>
          <w:szCs w:val="22"/>
        </w:rPr>
      </w:pPr>
      <w:proofErr w:type="spellStart"/>
      <w:r w:rsidRPr="0021259C">
        <w:rPr>
          <w:rFonts w:ascii="Calibri" w:eastAsia="Calibri" w:hAnsi="Calibri"/>
          <w:sz w:val="22"/>
          <w:szCs w:val="22"/>
        </w:rPr>
        <w:t>ftalanów</w:t>
      </w:r>
      <w:proofErr w:type="spellEnd"/>
      <w:r w:rsidRPr="0021259C">
        <w:rPr>
          <w:rFonts w:ascii="Calibri" w:eastAsia="Calibri" w:hAnsi="Calibri"/>
          <w:sz w:val="22"/>
          <w:szCs w:val="22"/>
        </w:rPr>
        <w:t xml:space="preserve"> dwu-2-etyloheksylowego (DEHP), </w:t>
      </w:r>
      <w:proofErr w:type="spellStart"/>
      <w:r w:rsidRPr="0021259C">
        <w:rPr>
          <w:rFonts w:ascii="Calibri" w:eastAsia="Calibri" w:hAnsi="Calibri"/>
          <w:sz w:val="22"/>
          <w:szCs w:val="22"/>
        </w:rPr>
        <w:t>ftalanów</w:t>
      </w:r>
      <w:proofErr w:type="spellEnd"/>
      <w:r w:rsidRPr="0021259C">
        <w:rPr>
          <w:rFonts w:ascii="Calibri" w:eastAsia="Calibri" w:hAnsi="Calibri"/>
          <w:sz w:val="22"/>
          <w:szCs w:val="22"/>
        </w:rPr>
        <w:t xml:space="preserve"> </w:t>
      </w:r>
      <w:proofErr w:type="spellStart"/>
      <w:r w:rsidRPr="0021259C">
        <w:rPr>
          <w:rFonts w:ascii="Calibri" w:eastAsia="Calibri" w:hAnsi="Calibri"/>
          <w:sz w:val="22"/>
          <w:szCs w:val="22"/>
        </w:rPr>
        <w:t>dioktylu</w:t>
      </w:r>
      <w:proofErr w:type="spellEnd"/>
      <w:r w:rsidRPr="0021259C">
        <w:rPr>
          <w:rFonts w:ascii="Calibri" w:eastAsia="Calibri" w:hAnsi="Calibri"/>
          <w:sz w:val="22"/>
          <w:szCs w:val="22"/>
        </w:rPr>
        <w:t xml:space="preserve"> (DOP) </w:t>
      </w:r>
    </w:p>
    <w:p w:rsidR="009F2E09" w:rsidRPr="0021259C" w:rsidRDefault="009F2E09" w:rsidP="009F2E09">
      <w:pPr>
        <w:numPr>
          <w:ilvl w:val="0"/>
          <w:numId w:val="7"/>
        </w:numPr>
        <w:jc w:val="both"/>
        <w:rPr>
          <w:rFonts w:ascii="Calibri" w:eastAsia="Calibri" w:hAnsi="Calibri"/>
          <w:sz w:val="22"/>
          <w:szCs w:val="22"/>
        </w:rPr>
      </w:pPr>
      <w:r w:rsidRPr="0021259C">
        <w:rPr>
          <w:rFonts w:ascii="Calibri" w:eastAsia="Calibri" w:hAnsi="Calibri"/>
          <w:sz w:val="22"/>
          <w:szCs w:val="22"/>
        </w:rPr>
        <w:t xml:space="preserve">lateksu </w:t>
      </w:r>
    </w:p>
    <w:p w:rsidR="009F2E09" w:rsidRPr="0021259C" w:rsidRDefault="009F2E09" w:rsidP="009F2E09">
      <w:pPr>
        <w:numPr>
          <w:ilvl w:val="0"/>
          <w:numId w:val="7"/>
        </w:numPr>
        <w:jc w:val="both"/>
        <w:rPr>
          <w:rFonts w:ascii="Calibri" w:eastAsia="Calibri" w:hAnsi="Calibri"/>
          <w:sz w:val="22"/>
          <w:szCs w:val="22"/>
        </w:rPr>
      </w:pPr>
      <w:r w:rsidRPr="0021259C">
        <w:rPr>
          <w:rFonts w:ascii="Calibri" w:eastAsia="Calibri" w:hAnsi="Calibri"/>
          <w:sz w:val="22"/>
          <w:szCs w:val="22"/>
        </w:rPr>
        <w:t>Pirogenów ?</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Spełnienie wymogów poświadczone oświadczeniem producenta materiałów zużywalnych i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kontrastu</w:t>
      </w:r>
    </w:p>
    <w:p w:rsidR="009F2E09" w:rsidRPr="0021259C" w:rsidRDefault="009F2E09" w:rsidP="009F2E09">
      <w:pPr>
        <w:jc w:val="both"/>
        <w:rPr>
          <w:rFonts w:ascii="Calibri" w:eastAsia="Calibri" w:hAnsi="Calibri"/>
          <w:sz w:val="22"/>
          <w:szCs w:val="22"/>
        </w:rPr>
      </w:pPr>
      <w:r w:rsidRPr="0021259C">
        <w:rPr>
          <w:rFonts w:ascii="Calibri" w:eastAsia="Calibri" w:hAnsi="Calibri"/>
          <w:b/>
          <w:bCs/>
          <w:sz w:val="22"/>
          <w:szCs w:val="22"/>
        </w:rPr>
        <w:t>Uzasadnienie:</w:t>
      </w:r>
      <w:r w:rsidRPr="0021259C">
        <w:rPr>
          <w:rFonts w:ascii="Calibri" w:eastAsia="Calibri" w:hAnsi="Calibri"/>
          <w:sz w:val="22"/>
          <w:szCs w:val="22"/>
        </w:rPr>
        <w:t xml:space="preserve"> </w:t>
      </w:r>
      <w:r w:rsidRPr="0021259C">
        <w:rPr>
          <w:rFonts w:ascii="Calibri" w:eastAsia="Calibri" w:hAnsi="Calibri"/>
          <w:sz w:val="22"/>
          <w:szCs w:val="22"/>
        </w:rPr>
        <w:br/>
        <w:t>Brak poniższych substancji ma duże znaczenie dla pacjentów:</w:t>
      </w:r>
    </w:p>
    <w:p w:rsidR="009F2E09" w:rsidRPr="0021259C" w:rsidRDefault="009F2E09" w:rsidP="009F2E09">
      <w:pPr>
        <w:numPr>
          <w:ilvl w:val="0"/>
          <w:numId w:val="8"/>
        </w:numPr>
        <w:ind w:left="567" w:hanging="425"/>
        <w:jc w:val="both"/>
        <w:rPr>
          <w:rFonts w:ascii="Calibri" w:eastAsia="Calibri" w:hAnsi="Calibri"/>
          <w:sz w:val="22"/>
          <w:szCs w:val="22"/>
        </w:rPr>
      </w:pPr>
      <w:proofErr w:type="spellStart"/>
      <w:r w:rsidRPr="0021259C">
        <w:rPr>
          <w:rFonts w:ascii="Calibri" w:eastAsia="Calibri" w:hAnsi="Calibri"/>
          <w:sz w:val="22"/>
          <w:szCs w:val="22"/>
        </w:rPr>
        <w:t>ftalany</w:t>
      </w:r>
      <w:proofErr w:type="spellEnd"/>
      <w:r w:rsidRPr="0021259C">
        <w:rPr>
          <w:rFonts w:ascii="Calibri" w:eastAsia="Calibri" w:hAnsi="Calibri"/>
          <w:sz w:val="22"/>
          <w:szCs w:val="22"/>
        </w:rPr>
        <w:t xml:space="preserve"> dwu-2-etyloheksylowego (DEHP), </w:t>
      </w:r>
      <w:proofErr w:type="spellStart"/>
      <w:r w:rsidRPr="0021259C">
        <w:rPr>
          <w:rFonts w:ascii="Calibri" w:eastAsia="Calibri" w:hAnsi="Calibri"/>
          <w:sz w:val="22"/>
          <w:szCs w:val="22"/>
        </w:rPr>
        <w:t>ftalany</w:t>
      </w:r>
      <w:proofErr w:type="spellEnd"/>
      <w:r w:rsidRPr="0021259C">
        <w:rPr>
          <w:rFonts w:ascii="Calibri" w:eastAsia="Calibri" w:hAnsi="Calibri"/>
          <w:sz w:val="22"/>
          <w:szCs w:val="22"/>
        </w:rPr>
        <w:t xml:space="preserve"> </w:t>
      </w:r>
      <w:proofErr w:type="spellStart"/>
      <w:r w:rsidRPr="0021259C">
        <w:rPr>
          <w:rFonts w:ascii="Calibri" w:eastAsia="Calibri" w:hAnsi="Calibri"/>
          <w:sz w:val="22"/>
          <w:szCs w:val="22"/>
        </w:rPr>
        <w:t>dioktylu</w:t>
      </w:r>
      <w:proofErr w:type="spellEnd"/>
      <w:r w:rsidRPr="0021259C">
        <w:rPr>
          <w:rFonts w:ascii="Calibri" w:eastAsia="Calibri" w:hAnsi="Calibri"/>
          <w:sz w:val="22"/>
          <w:szCs w:val="22"/>
        </w:rPr>
        <w:t xml:space="preserve"> (DOP) – Brak tych substancji jest szczególnie ważny dla kobiet w ciąży i dzieci,</w:t>
      </w:r>
    </w:p>
    <w:p w:rsidR="009F2E09" w:rsidRPr="0021259C" w:rsidRDefault="009F2E09" w:rsidP="009F2E09">
      <w:pPr>
        <w:numPr>
          <w:ilvl w:val="0"/>
          <w:numId w:val="8"/>
        </w:numPr>
        <w:ind w:left="567" w:hanging="425"/>
        <w:jc w:val="both"/>
        <w:rPr>
          <w:rFonts w:ascii="Calibri" w:eastAsia="Calibri" w:hAnsi="Calibri"/>
          <w:sz w:val="22"/>
          <w:szCs w:val="22"/>
        </w:rPr>
      </w:pPr>
      <w:r w:rsidRPr="0021259C">
        <w:rPr>
          <w:rFonts w:ascii="Calibri" w:eastAsia="Calibri" w:hAnsi="Calibri"/>
          <w:sz w:val="22"/>
          <w:szCs w:val="22"/>
        </w:rPr>
        <w:t>lateks – jego obecność jest niebezpieczna dla pacjentów z alergią na lateks,</w:t>
      </w:r>
    </w:p>
    <w:p w:rsidR="009F2E09" w:rsidRPr="0021259C" w:rsidRDefault="009F2E09" w:rsidP="009F2E09">
      <w:pPr>
        <w:numPr>
          <w:ilvl w:val="0"/>
          <w:numId w:val="8"/>
        </w:numPr>
        <w:ind w:left="567" w:hanging="425"/>
        <w:jc w:val="both"/>
        <w:rPr>
          <w:rFonts w:ascii="Calibri" w:eastAsia="Calibri" w:hAnsi="Calibri"/>
          <w:sz w:val="22"/>
          <w:szCs w:val="22"/>
        </w:rPr>
      </w:pPr>
      <w:r w:rsidRPr="0021259C">
        <w:rPr>
          <w:rFonts w:ascii="Calibri" w:eastAsia="Calibri" w:hAnsi="Calibri"/>
          <w:sz w:val="22"/>
          <w:szCs w:val="22"/>
        </w:rPr>
        <w:t>pirogeny – substancje te oddziaływają na ośrodek termoregulacyjny i przestawiają biologiczny wzorzec temperatury ciała?</w:t>
      </w:r>
    </w:p>
    <w:p w:rsidR="009F2E09" w:rsidRPr="00C42A27" w:rsidRDefault="009F2E09" w:rsidP="009F2E09">
      <w:pPr>
        <w:jc w:val="both"/>
        <w:rPr>
          <w:rFonts w:ascii="Calibri" w:eastAsia="Calibri" w:hAnsi="Calibri"/>
          <w:b/>
          <w:sz w:val="22"/>
          <w:szCs w:val="22"/>
        </w:rPr>
      </w:pPr>
      <w:r>
        <w:rPr>
          <w:rFonts w:ascii="Calibri" w:eastAsia="Calibri" w:hAnsi="Calibri"/>
          <w:b/>
          <w:sz w:val="22"/>
          <w:szCs w:val="22"/>
        </w:rPr>
        <w:t>Pytanie nr 9</w:t>
      </w: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Załącznik nr 1 – Oferta techniczna, MR, M. WYPOSAŻENIE DODATKOWE, WYMAGANIA DODATKOWE, pkt.226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Czy Zamawiający będzie oczekiwał aby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kontrastu pracował w pełni bezprzewodowo (zasilanie akumulatorowe oraz bezprzewodowa łączność strzykawki z ekranem zdalnym w sterowni)?</w:t>
      </w:r>
      <w:r w:rsidRPr="0021259C">
        <w:rPr>
          <w:rFonts w:ascii="Calibri" w:eastAsia="Calibri" w:hAnsi="Calibri"/>
          <w:sz w:val="22"/>
          <w:szCs w:val="22"/>
        </w:rPr>
        <w:br/>
      </w:r>
      <w:r w:rsidRPr="0021259C">
        <w:rPr>
          <w:rFonts w:ascii="Calibri" w:eastAsia="Calibri" w:hAnsi="Calibri"/>
          <w:b/>
          <w:bCs/>
          <w:sz w:val="22"/>
          <w:szCs w:val="22"/>
        </w:rPr>
        <w:t xml:space="preserve">Uzasadnienie: </w:t>
      </w:r>
      <w:r w:rsidRPr="0021259C">
        <w:rPr>
          <w:rFonts w:ascii="Calibri" w:eastAsia="Calibri" w:hAnsi="Calibri"/>
          <w:b/>
          <w:bCs/>
          <w:sz w:val="22"/>
          <w:szCs w:val="22"/>
        </w:rPr>
        <w:br/>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którego praca nie jest w pełni bezprzewodowa wpłynie na pracę Zamawiającego gdyż:</w:t>
      </w:r>
      <w:r w:rsidRPr="0021259C">
        <w:rPr>
          <w:rFonts w:ascii="Calibri" w:eastAsia="Calibri" w:hAnsi="Calibri"/>
          <w:sz w:val="22"/>
          <w:szCs w:val="22"/>
        </w:rPr>
        <w:br/>
        <w:t xml:space="preserve">- nie będzie mógł przemieszczać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w dowolne miejsce</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 będzie musiał przykładać dodatkową uwagę do tego, żeby nie spowodować awarii poprzez zahaczenie nogami o kabel </w:t>
      </w:r>
      <w:proofErr w:type="spellStart"/>
      <w:r w:rsidRPr="0021259C">
        <w:rPr>
          <w:rFonts w:ascii="Calibri" w:eastAsia="Calibri" w:hAnsi="Calibri"/>
          <w:sz w:val="22"/>
          <w:szCs w:val="22"/>
        </w:rPr>
        <w:t>wstrzykiwacza</w:t>
      </w:r>
      <w:proofErr w:type="spellEnd"/>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lastRenderedPageBreak/>
        <w:t>- będzie mieć utrudnioną pracę z pacjentami na wjeżdżającymi na salę na wózkach szpitalnych.</w:t>
      </w:r>
    </w:p>
    <w:p w:rsidR="009F2E09" w:rsidRPr="00C42A27" w:rsidRDefault="009F2E09" w:rsidP="009F2E09">
      <w:pPr>
        <w:jc w:val="both"/>
        <w:rPr>
          <w:rFonts w:ascii="Calibri" w:eastAsia="Calibri" w:hAnsi="Calibri"/>
          <w:b/>
          <w:sz w:val="22"/>
          <w:szCs w:val="22"/>
        </w:rPr>
      </w:pPr>
      <w:r>
        <w:rPr>
          <w:rFonts w:ascii="Calibri" w:eastAsia="Calibri" w:hAnsi="Calibri"/>
          <w:b/>
          <w:sz w:val="22"/>
          <w:szCs w:val="22"/>
        </w:rPr>
        <w:t>Pytanie nr 10</w:t>
      </w: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Załącznik nr 1 – Oferta techniczna, MR, M. WYPOSAŻENIE DODATKOWE, WYMAGANIA DODATKOWE, pkt.226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Czy Zamawiający będzie wymagał aby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kontrastu był wyposażony w funkcję trybu kroplowego (KVO- </w:t>
      </w:r>
      <w:proofErr w:type="spellStart"/>
      <w:r w:rsidRPr="0021259C">
        <w:rPr>
          <w:rFonts w:ascii="Calibri" w:eastAsia="Calibri" w:hAnsi="Calibri"/>
          <w:sz w:val="22"/>
          <w:szCs w:val="22"/>
        </w:rPr>
        <w:t>Keep</w:t>
      </w:r>
      <w:proofErr w:type="spellEnd"/>
      <w:r w:rsidRPr="0021259C">
        <w:rPr>
          <w:rFonts w:ascii="Calibri" w:eastAsia="Calibri" w:hAnsi="Calibri"/>
          <w:sz w:val="22"/>
          <w:szCs w:val="22"/>
        </w:rPr>
        <w:t xml:space="preserve"> </w:t>
      </w:r>
      <w:proofErr w:type="spellStart"/>
      <w:r w:rsidRPr="0021259C">
        <w:rPr>
          <w:rFonts w:ascii="Calibri" w:eastAsia="Calibri" w:hAnsi="Calibri"/>
          <w:sz w:val="22"/>
          <w:szCs w:val="22"/>
        </w:rPr>
        <w:t>Vein</w:t>
      </w:r>
      <w:proofErr w:type="spellEnd"/>
      <w:r w:rsidRPr="0021259C">
        <w:rPr>
          <w:rFonts w:ascii="Calibri" w:eastAsia="Calibri" w:hAnsi="Calibri"/>
          <w:sz w:val="22"/>
          <w:szCs w:val="22"/>
        </w:rPr>
        <w:t xml:space="preserve"> Open), która polega na utrzymywania drożności żył poprzez wstrzykiwanie 0,5 ml soli fizjologicznej co 2 minuty ?</w:t>
      </w:r>
    </w:p>
    <w:p w:rsidR="009F2E09" w:rsidRPr="0021259C" w:rsidRDefault="009F2E09" w:rsidP="00B64946">
      <w:pPr>
        <w:jc w:val="both"/>
        <w:rPr>
          <w:rFonts w:ascii="Calibri" w:eastAsia="Calibri" w:hAnsi="Calibri"/>
          <w:b/>
          <w:sz w:val="22"/>
          <w:szCs w:val="22"/>
        </w:rPr>
      </w:pPr>
      <w:r w:rsidRPr="0021259C">
        <w:rPr>
          <w:rFonts w:ascii="Calibri" w:eastAsia="Calibri" w:hAnsi="Calibri"/>
          <w:b/>
          <w:bCs/>
          <w:sz w:val="22"/>
          <w:szCs w:val="22"/>
        </w:rPr>
        <w:t>Uzasadnienie</w:t>
      </w:r>
      <w:r w:rsidRPr="0021259C">
        <w:rPr>
          <w:rFonts w:ascii="Calibri" w:eastAsia="Calibri" w:hAnsi="Calibri"/>
          <w:sz w:val="22"/>
          <w:szCs w:val="22"/>
        </w:rPr>
        <w:t>: Funkcja utrzymywania drożności żył ma bardzo duże przełożenie na komfort i bezpieczeństwo pacjentów podczas zabiegu.</w:t>
      </w:r>
    </w:p>
    <w:p w:rsidR="009F2E09" w:rsidRDefault="009F2E09" w:rsidP="00B64946">
      <w:pPr>
        <w:jc w:val="both"/>
        <w:rPr>
          <w:rFonts w:ascii="Calibri" w:eastAsia="Calibri" w:hAnsi="Calibri"/>
          <w:b/>
          <w:sz w:val="22"/>
          <w:szCs w:val="22"/>
        </w:rPr>
      </w:pPr>
    </w:p>
    <w:p w:rsidR="009F2E09" w:rsidRPr="00C42A27" w:rsidRDefault="009F2E09" w:rsidP="00B64946">
      <w:pPr>
        <w:jc w:val="both"/>
        <w:rPr>
          <w:rFonts w:ascii="Calibri" w:eastAsia="Calibri" w:hAnsi="Calibri"/>
          <w:b/>
          <w:sz w:val="22"/>
          <w:szCs w:val="22"/>
        </w:rPr>
      </w:pPr>
      <w:r>
        <w:rPr>
          <w:rFonts w:ascii="Calibri" w:eastAsia="Calibri" w:hAnsi="Calibri"/>
          <w:b/>
          <w:sz w:val="22"/>
          <w:szCs w:val="22"/>
        </w:rPr>
        <w:t>Pytanie nr 11</w:t>
      </w: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Załącznik nr 1 – Oferta techniczna, MR, M. WYPOSAŻENIE DODATKOWE, WYMAGANIA DODATKOWE, pkt.226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Czy Zamawiający będzie oczekiwał aby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kontrastu posiadał poza zdalnym ekranem sterującym dodatkowy kolorowy dotykowy ekran sterujący wbudowany w obudowę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kontrastu ? </w:t>
      </w:r>
      <w:r w:rsidRPr="0021259C">
        <w:rPr>
          <w:rFonts w:ascii="Calibri" w:eastAsia="Calibri" w:hAnsi="Calibri"/>
          <w:sz w:val="22"/>
          <w:szCs w:val="22"/>
        </w:rPr>
        <w:br/>
        <w:t xml:space="preserve">Dzięki posiadaniu 2 dotykowych kolorowych ekranów sterujących LCD (jeden wbudowany w strzykawkę, drugi zdalny ekran sterujący LCD przy konsoli CT) </w:t>
      </w:r>
      <w:r w:rsidRPr="0021259C">
        <w:rPr>
          <w:rFonts w:ascii="Calibri" w:eastAsia="Calibri" w:hAnsi="Calibri"/>
          <w:b/>
          <w:bCs/>
          <w:sz w:val="22"/>
          <w:szCs w:val="22"/>
        </w:rPr>
        <w:t>Zamawiający zyskuje</w:t>
      </w:r>
      <w:r w:rsidRPr="0021259C">
        <w:rPr>
          <w:rFonts w:ascii="Calibri" w:eastAsia="Calibri" w:hAnsi="Calibri"/>
          <w:sz w:val="22"/>
          <w:szCs w:val="22"/>
        </w:rPr>
        <w:t>:</w:t>
      </w:r>
    </w:p>
    <w:p w:rsidR="009F2E09" w:rsidRPr="0021259C" w:rsidRDefault="009F2E09" w:rsidP="009F2E09">
      <w:pPr>
        <w:numPr>
          <w:ilvl w:val="0"/>
          <w:numId w:val="2"/>
        </w:numPr>
        <w:suppressAutoHyphens w:val="0"/>
        <w:snapToGrid w:val="0"/>
        <w:jc w:val="both"/>
        <w:rPr>
          <w:rFonts w:ascii="Calibri" w:eastAsia="Calibri" w:hAnsi="Calibri"/>
          <w:sz w:val="22"/>
          <w:szCs w:val="22"/>
          <w:lang w:eastAsia="en-US"/>
        </w:rPr>
      </w:pPr>
      <w:r w:rsidRPr="0021259C">
        <w:rPr>
          <w:rFonts w:ascii="Calibri" w:eastAsia="Calibri" w:hAnsi="Calibri"/>
          <w:sz w:val="22"/>
          <w:szCs w:val="22"/>
        </w:rPr>
        <w:t xml:space="preserve">możliwość programowania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zarówno na ekranie zdalnym umieszczonym przy konsoli CT jaki i możliwość programowania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na ekranie wbudowanym w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przy pacjencie.</w:t>
      </w:r>
    </w:p>
    <w:p w:rsidR="009F2E09" w:rsidRPr="0021259C" w:rsidRDefault="009F2E09" w:rsidP="009F2E09">
      <w:pPr>
        <w:numPr>
          <w:ilvl w:val="0"/>
          <w:numId w:val="2"/>
        </w:numPr>
        <w:suppressAutoHyphens w:val="0"/>
        <w:snapToGrid w:val="0"/>
        <w:jc w:val="both"/>
        <w:rPr>
          <w:rFonts w:ascii="Calibri" w:eastAsia="Calibri" w:hAnsi="Calibri"/>
          <w:sz w:val="22"/>
          <w:szCs w:val="22"/>
        </w:rPr>
      </w:pPr>
      <w:r w:rsidRPr="0021259C">
        <w:rPr>
          <w:rFonts w:ascii="Calibri" w:eastAsia="Calibri" w:hAnsi="Calibri"/>
          <w:sz w:val="22"/>
          <w:szCs w:val="22"/>
        </w:rPr>
        <w:t xml:space="preserve">ekran wbudowany we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powoduje, że procedura napełniania wkładów kontrastem i solą fizjologiczną jest szybsza i prostsza.</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Proponowane rozwiązanie występuję u różnych producentów nowoczesnych systemów do podawania kontrastu zatem Zamawiający wymagając powyższego nie narusza zasad uczciwej konkurencji.</w:t>
      </w:r>
    </w:p>
    <w:p w:rsidR="009F2E09" w:rsidRPr="0021259C" w:rsidRDefault="009F2E09" w:rsidP="009F2E09">
      <w:pPr>
        <w:jc w:val="both"/>
        <w:rPr>
          <w:rFonts w:ascii="Calibri" w:eastAsia="Calibri" w:hAnsi="Calibri"/>
          <w:sz w:val="22"/>
          <w:szCs w:val="22"/>
        </w:rPr>
      </w:pP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PET/CT</w:t>
      </w:r>
    </w:p>
    <w:p w:rsidR="009F2E09" w:rsidRPr="0021259C" w:rsidRDefault="009F2E09" w:rsidP="009F2E09">
      <w:pPr>
        <w:jc w:val="both"/>
        <w:rPr>
          <w:rFonts w:ascii="Calibri" w:eastAsia="Calibri" w:hAnsi="Calibri"/>
          <w:b/>
          <w:sz w:val="22"/>
          <w:szCs w:val="22"/>
        </w:rPr>
      </w:pPr>
    </w:p>
    <w:p w:rsidR="009F2E09" w:rsidRPr="00C42A27" w:rsidRDefault="009F2E09" w:rsidP="009F2E09">
      <w:pPr>
        <w:jc w:val="both"/>
        <w:rPr>
          <w:rFonts w:ascii="Calibri" w:eastAsia="Calibri" w:hAnsi="Calibri"/>
          <w:b/>
          <w:sz w:val="22"/>
          <w:szCs w:val="22"/>
        </w:rPr>
      </w:pPr>
      <w:r>
        <w:rPr>
          <w:rFonts w:ascii="Calibri" w:eastAsia="Calibri" w:hAnsi="Calibri"/>
          <w:b/>
          <w:sz w:val="22"/>
          <w:szCs w:val="22"/>
        </w:rPr>
        <w:t>Pytanie nr 12</w:t>
      </w: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Załącznik nr 1 – Oferta techniczna, PET/CT, WYPOSAŻENIE SKANERA PET/CT, pkt. 139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p>
    <w:p w:rsidR="009F2E09" w:rsidRPr="0021259C" w:rsidRDefault="009F2E09" w:rsidP="009F2E09">
      <w:pPr>
        <w:jc w:val="both"/>
        <w:rPr>
          <w:rFonts w:ascii="Calibri" w:eastAsia="Calibri" w:hAnsi="Calibri" w:cs="Arial"/>
          <w:sz w:val="22"/>
          <w:szCs w:val="22"/>
        </w:rPr>
      </w:pPr>
      <w:r w:rsidRPr="0021259C">
        <w:rPr>
          <w:rFonts w:ascii="Calibri" w:eastAsia="Calibri" w:hAnsi="Calibri" w:cs="Arial"/>
          <w:sz w:val="22"/>
          <w:szCs w:val="22"/>
        </w:rPr>
        <w:t xml:space="preserve">Zamawiający wymaga dostarczenia naboju jednorazowego ze środkiem cieniującym 100 ml + dreny spiralne. Czy Zamawiający zaakceptuje dostarczenie pustych wkładów do </w:t>
      </w:r>
      <w:proofErr w:type="spellStart"/>
      <w:r w:rsidRPr="0021259C">
        <w:rPr>
          <w:rFonts w:ascii="Calibri" w:eastAsia="Calibri" w:hAnsi="Calibri" w:cs="Arial"/>
          <w:sz w:val="22"/>
          <w:szCs w:val="22"/>
        </w:rPr>
        <w:t>wstrzykiwacza</w:t>
      </w:r>
      <w:proofErr w:type="spellEnd"/>
      <w:r w:rsidRPr="0021259C">
        <w:rPr>
          <w:rFonts w:ascii="Calibri" w:eastAsia="Calibri" w:hAnsi="Calibri" w:cs="Arial"/>
          <w:sz w:val="22"/>
          <w:szCs w:val="22"/>
        </w:rPr>
        <w:t xml:space="preserve"> oraz środka cieniującego w butelkach 100 ml ?</w:t>
      </w:r>
    </w:p>
    <w:p w:rsidR="009F2E09" w:rsidRPr="0021259C" w:rsidRDefault="009F2E09" w:rsidP="009F2E09">
      <w:pPr>
        <w:jc w:val="both"/>
        <w:rPr>
          <w:rFonts w:ascii="Calibri" w:eastAsia="Calibri" w:hAnsi="Calibri"/>
          <w:b/>
          <w:sz w:val="22"/>
          <w:szCs w:val="22"/>
        </w:rPr>
      </w:pPr>
      <w:r w:rsidRPr="0021259C">
        <w:rPr>
          <w:rFonts w:ascii="Calibri" w:eastAsia="Calibri" w:hAnsi="Calibri" w:cs="Arial"/>
          <w:sz w:val="22"/>
          <w:szCs w:val="22"/>
        </w:rPr>
        <w:t xml:space="preserve">Uzasadnienie: Proponowane rozwiązanie jest nie tylko bardziej elastyczne ale również umożliwia wykorzystywanie wielogodzinnych materiałów zużywalnych dla wielu pacjentów, które umożliwiają osiąganie znaczących oszczędności zarówno na zużytym kontraście jak i materiałach zużywalnych do </w:t>
      </w:r>
      <w:proofErr w:type="spellStart"/>
      <w:r w:rsidRPr="0021259C">
        <w:rPr>
          <w:rFonts w:ascii="Calibri" w:eastAsia="Calibri" w:hAnsi="Calibri" w:cs="Arial"/>
          <w:sz w:val="22"/>
          <w:szCs w:val="22"/>
        </w:rPr>
        <w:t>wstrzykiwacza</w:t>
      </w:r>
      <w:proofErr w:type="spellEnd"/>
      <w:r w:rsidRPr="0021259C">
        <w:rPr>
          <w:rFonts w:ascii="Calibri" w:eastAsia="Calibri" w:hAnsi="Calibri" w:cs="Arial"/>
          <w:sz w:val="22"/>
          <w:szCs w:val="22"/>
        </w:rPr>
        <w:t>. Zamawiający nie będzie musiał wymieniać za każdym razem wkładów i opakowań soli fizjologicznej na nowe co bardzo oszczędza czas przygotowania pacjenta do badania.</w:t>
      </w:r>
    </w:p>
    <w:p w:rsidR="009F2E09" w:rsidRPr="00C42A27" w:rsidRDefault="009F2E09" w:rsidP="009F2E09">
      <w:pPr>
        <w:jc w:val="both"/>
        <w:rPr>
          <w:rFonts w:ascii="Calibri" w:eastAsia="Calibri" w:hAnsi="Calibri"/>
          <w:b/>
          <w:sz w:val="22"/>
          <w:szCs w:val="22"/>
        </w:rPr>
      </w:pPr>
      <w:r>
        <w:rPr>
          <w:rFonts w:ascii="Calibri" w:eastAsia="Calibri" w:hAnsi="Calibri"/>
          <w:b/>
          <w:sz w:val="22"/>
          <w:szCs w:val="22"/>
        </w:rPr>
        <w:t>Pytanie nr 13</w:t>
      </w: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Załącznik nr 1 – Oferta techniczna, PET/CT, WYPOSAŻENIE SKANERA PET/CT, pkt. 139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p>
    <w:p w:rsidR="009F2E09" w:rsidRPr="0021259C" w:rsidRDefault="009F2E09" w:rsidP="009F2E09">
      <w:pPr>
        <w:jc w:val="both"/>
        <w:rPr>
          <w:rFonts w:ascii="Calibri" w:eastAsia="Calibri" w:hAnsi="Calibri" w:cs="Arial"/>
          <w:sz w:val="22"/>
          <w:szCs w:val="22"/>
        </w:rPr>
      </w:pPr>
      <w:r w:rsidRPr="0021259C">
        <w:rPr>
          <w:rFonts w:ascii="Calibri" w:eastAsia="Calibri" w:hAnsi="Calibri" w:cs="Arial"/>
          <w:sz w:val="22"/>
          <w:szCs w:val="22"/>
        </w:rPr>
        <w:t>Zamawiający wymaga dostarczenia naboju jednorazowego ze środkiem cieniującym 100 ml + dreny spiralne. Czy Zamawiający zaakceptuje dreny proste ?</w:t>
      </w:r>
    </w:p>
    <w:p w:rsidR="009F2E09" w:rsidRPr="0021259C" w:rsidRDefault="009F2E09" w:rsidP="009F2E09">
      <w:pPr>
        <w:jc w:val="both"/>
        <w:rPr>
          <w:rFonts w:ascii="Calibri" w:eastAsia="Calibri" w:hAnsi="Calibri" w:cs="Arial"/>
          <w:sz w:val="22"/>
          <w:szCs w:val="22"/>
        </w:rPr>
      </w:pPr>
      <w:r w:rsidRPr="0021259C">
        <w:rPr>
          <w:rFonts w:ascii="Calibri" w:eastAsia="Calibri" w:hAnsi="Calibri" w:cs="Arial"/>
          <w:sz w:val="22"/>
          <w:szCs w:val="22"/>
        </w:rPr>
        <w:t xml:space="preserve">Wykorzystywanie drenów prostych (niespiralnych) ułatwia odpowietrzanie systemu </w:t>
      </w:r>
      <w:proofErr w:type="spellStart"/>
      <w:r w:rsidRPr="0021259C">
        <w:rPr>
          <w:rFonts w:ascii="Calibri" w:eastAsia="Calibri" w:hAnsi="Calibri" w:cs="Arial"/>
          <w:sz w:val="22"/>
          <w:szCs w:val="22"/>
        </w:rPr>
        <w:t>przywęży</w:t>
      </w:r>
      <w:proofErr w:type="spellEnd"/>
      <w:r w:rsidRPr="0021259C">
        <w:rPr>
          <w:rFonts w:ascii="Calibri" w:eastAsia="Calibri" w:hAnsi="Calibri" w:cs="Arial"/>
          <w:sz w:val="22"/>
          <w:szCs w:val="22"/>
        </w:rPr>
        <w:t>.</w:t>
      </w:r>
    </w:p>
    <w:p w:rsidR="009F2E09" w:rsidRPr="00C42A27" w:rsidRDefault="009F2E09" w:rsidP="009F2E09">
      <w:pPr>
        <w:jc w:val="both"/>
        <w:rPr>
          <w:rFonts w:ascii="Calibri" w:eastAsia="Calibri" w:hAnsi="Calibri"/>
          <w:b/>
          <w:sz w:val="22"/>
          <w:szCs w:val="22"/>
        </w:rPr>
      </w:pPr>
      <w:r>
        <w:rPr>
          <w:rFonts w:ascii="Calibri" w:eastAsia="Calibri" w:hAnsi="Calibri"/>
          <w:b/>
          <w:sz w:val="22"/>
          <w:szCs w:val="22"/>
        </w:rPr>
        <w:t>Pytanie nr 14</w:t>
      </w: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Załącznik nr 1 – Oferta techniczna, PET/CT, WYPOSAŻENIE SKANERA PET/CT, pkt. 133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Czy Zamawiający wymaga aby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kontrastu pracował na materiałach zużywalnych (w tym wkładach) pozbawionych:</w:t>
      </w:r>
    </w:p>
    <w:p w:rsidR="009F2E09" w:rsidRPr="0021259C" w:rsidRDefault="009F2E09" w:rsidP="009F2E09">
      <w:pPr>
        <w:numPr>
          <w:ilvl w:val="0"/>
          <w:numId w:val="5"/>
        </w:numPr>
        <w:jc w:val="both"/>
        <w:rPr>
          <w:rFonts w:ascii="Calibri" w:eastAsia="Calibri" w:hAnsi="Calibri"/>
          <w:sz w:val="22"/>
          <w:szCs w:val="22"/>
        </w:rPr>
      </w:pPr>
      <w:proofErr w:type="spellStart"/>
      <w:r w:rsidRPr="0021259C">
        <w:rPr>
          <w:rFonts w:ascii="Calibri" w:eastAsia="Calibri" w:hAnsi="Calibri"/>
          <w:sz w:val="22"/>
          <w:szCs w:val="22"/>
        </w:rPr>
        <w:t>ftalanów</w:t>
      </w:r>
      <w:proofErr w:type="spellEnd"/>
      <w:r w:rsidRPr="0021259C">
        <w:rPr>
          <w:rFonts w:ascii="Calibri" w:eastAsia="Calibri" w:hAnsi="Calibri"/>
          <w:sz w:val="22"/>
          <w:szCs w:val="22"/>
        </w:rPr>
        <w:t xml:space="preserve"> dwu-2-etyloheksylowego (DEHP), </w:t>
      </w:r>
      <w:proofErr w:type="spellStart"/>
      <w:r w:rsidRPr="0021259C">
        <w:rPr>
          <w:rFonts w:ascii="Calibri" w:eastAsia="Calibri" w:hAnsi="Calibri"/>
          <w:sz w:val="22"/>
          <w:szCs w:val="22"/>
        </w:rPr>
        <w:t>ftalanów</w:t>
      </w:r>
      <w:proofErr w:type="spellEnd"/>
      <w:r w:rsidRPr="0021259C">
        <w:rPr>
          <w:rFonts w:ascii="Calibri" w:eastAsia="Calibri" w:hAnsi="Calibri"/>
          <w:sz w:val="22"/>
          <w:szCs w:val="22"/>
        </w:rPr>
        <w:t xml:space="preserve"> </w:t>
      </w:r>
      <w:proofErr w:type="spellStart"/>
      <w:r w:rsidRPr="0021259C">
        <w:rPr>
          <w:rFonts w:ascii="Calibri" w:eastAsia="Calibri" w:hAnsi="Calibri"/>
          <w:sz w:val="22"/>
          <w:szCs w:val="22"/>
        </w:rPr>
        <w:t>dioktylu</w:t>
      </w:r>
      <w:proofErr w:type="spellEnd"/>
      <w:r w:rsidRPr="0021259C">
        <w:rPr>
          <w:rFonts w:ascii="Calibri" w:eastAsia="Calibri" w:hAnsi="Calibri"/>
          <w:sz w:val="22"/>
          <w:szCs w:val="22"/>
        </w:rPr>
        <w:t xml:space="preserve"> (DOP)</w:t>
      </w:r>
    </w:p>
    <w:p w:rsidR="009F2E09" w:rsidRPr="0021259C" w:rsidRDefault="009F2E09" w:rsidP="009F2E09">
      <w:pPr>
        <w:numPr>
          <w:ilvl w:val="0"/>
          <w:numId w:val="5"/>
        </w:numPr>
        <w:jc w:val="both"/>
        <w:rPr>
          <w:rFonts w:ascii="Calibri" w:eastAsia="Calibri" w:hAnsi="Calibri"/>
          <w:sz w:val="22"/>
          <w:szCs w:val="22"/>
        </w:rPr>
      </w:pPr>
      <w:r w:rsidRPr="0021259C">
        <w:rPr>
          <w:rFonts w:ascii="Calibri" w:eastAsia="Calibri" w:hAnsi="Calibri"/>
          <w:sz w:val="22"/>
          <w:szCs w:val="22"/>
        </w:rPr>
        <w:t xml:space="preserve"> lateksu</w:t>
      </w:r>
    </w:p>
    <w:p w:rsidR="009F2E09" w:rsidRPr="0021259C" w:rsidRDefault="009F2E09" w:rsidP="009F2E09">
      <w:pPr>
        <w:numPr>
          <w:ilvl w:val="0"/>
          <w:numId w:val="5"/>
        </w:numPr>
        <w:jc w:val="both"/>
        <w:rPr>
          <w:rFonts w:ascii="Calibri" w:eastAsia="Calibri" w:hAnsi="Calibri"/>
          <w:sz w:val="22"/>
          <w:szCs w:val="22"/>
        </w:rPr>
      </w:pPr>
      <w:r w:rsidRPr="0021259C">
        <w:rPr>
          <w:rFonts w:ascii="Calibri" w:eastAsia="Calibri" w:hAnsi="Calibri"/>
          <w:sz w:val="22"/>
          <w:szCs w:val="22"/>
        </w:rPr>
        <w:t xml:space="preserve"> Pirogenów ?</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lastRenderedPageBreak/>
        <w:t xml:space="preserve">Spełnienie wymogów poświadczone oświadczeniem producenta materiałów zużywalnych i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kontrastu</w:t>
      </w:r>
      <w:r w:rsidRPr="0021259C">
        <w:rPr>
          <w:rFonts w:ascii="Calibri" w:eastAsia="Calibri" w:hAnsi="Calibri"/>
          <w:sz w:val="22"/>
          <w:szCs w:val="22"/>
        </w:rPr>
        <w:br/>
      </w:r>
      <w:r w:rsidRPr="0021259C">
        <w:rPr>
          <w:rFonts w:ascii="Calibri" w:eastAsia="Calibri" w:hAnsi="Calibri"/>
          <w:b/>
          <w:bCs/>
          <w:sz w:val="22"/>
          <w:szCs w:val="22"/>
        </w:rPr>
        <w:t>Uzasadnienie:</w:t>
      </w:r>
      <w:r w:rsidRPr="0021259C">
        <w:rPr>
          <w:rFonts w:ascii="Calibri" w:eastAsia="Calibri" w:hAnsi="Calibri"/>
          <w:sz w:val="22"/>
          <w:szCs w:val="22"/>
        </w:rPr>
        <w:t xml:space="preserve"> </w:t>
      </w:r>
      <w:r w:rsidRPr="0021259C">
        <w:rPr>
          <w:rFonts w:ascii="Calibri" w:eastAsia="Calibri" w:hAnsi="Calibri"/>
          <w:sz w:val="22"/>
          <w:szCs w:val="22"/>
        </w:rPr>
        <w:br/>
        <w:t>Brak poniższych substancji ma duże znaczenie dla pacjentów:</w:t>
      </w:r>
    </w:p>
    <w:p w:rsidR="009F2E09" w:rsidRPr="0021259C" w:rsidRDefault="009F2E09" w:rsidP="009F2E09">
      <w:pPr>
        <w:numPr>
          <w:ilvl w:val="0"/>
          <w:numId w:val="6"/>
        </w:numPr>
        <w:jc w:val="both"/>
        <w:rPr>
          <w:rFonts w:ascii="Calibri" w:eastAsia="Calibri" w:hAnsi="Calibri"/>
          <w:sz w:val="22"/>
          <w:szCs w:val="22"/>
        </w:rPr>
      </w:pPr>
      <w:proofErr w:type="spellStart"/>
      <w:r w:rsidRPr="0021259C">
        <w:rPr>
          <w:rFonts w:ascii="Calibri" w:eastAsia="Calibri" w:hAnsi="Calibri"/>
          <w:sz w:val="22"/>
          <w:szCs w:val="22"/>
        </w:rPr>
        <w:t>ftalany</w:t>
      </w:r>
      <w:proofErr w:type="spellEnd"/>
      <w:r w:rsidRPr="0021259C">
        <w:rPr>
          <w:rFonts w:ascii="Calibri" w:eastAsia="Calibri" w:hAnsi="Calibri"/>
          <w:sz w:val="22"/>
          <w:szCs w:val="22"/>
        </w:rPr>
        <w:t xml:space="preserve"> dwu-2-etyloheksylowego (DEHP), </w:t>
      </w:r>
      <w:proofErr w:type="spellStart"/>
      <w:r w:rsidRPr="0021259C">
        <w:rPr>
          <w:rFonts w:ascii="Calibri" w:eastAsia="Calibri" w:hAnsi="Calibri"/>
          <w:sz w:val="22"/>
          <w:szCs w:val="22"/>
        </w:rPr>
        <w:t>ftalany</w:t>
      </w:r>
      <w:proofErr w:type="spellEnd"/>
      <w:r w:rsidRPr="0021259C">
        <w:rPr>
          <w:rFonts w:ascii="Calibri" w:eastAsia="Calibri" w:hAnsi="Calibri"/>
          <w:sz w:val="22"/>
          <w:szCs w:val="22"/>
        </w:rPr>
        <w:t xml:space="preserve"> </w:t>
      </w:r>
      <w:proofErr w:type="spellStart"/>
      <w:r w:rsidRPr="0021259C">
        <w:rPr>
          <w:rFonts w:ascii="Calibri" w:eastAsia="Calibri" w:hAnsi="Calibri"/>
          <w:sz w:val="22"/>
          <w:szCs w:val="22"/>
        </w:rPr>
        <w:t>dioktylu</w:t>
      </w:r>
      <w:proofErr w:type="spellEnd"/>
      <w:r w:rsidRPr="0021259C">
        <w:rPr>
          <w:rFonts w:ascii="Calibri" w:eastAsia="Calibri" w:hAnsi="Calibri"/>
          <w:sz w:val="22"/>
          <w:szCs w:val="22"/>
        </w:rPr>
        <w:t xml:space="preserve"> (DOP) – Brak tych substancji jest szczególnie ważny dla kobiet w ciąży i dzieci,</w:t>
      </w:r>
    </w:p>
    <w:p w:rsidR="009F2E09" w:rsidRPr="0021259C" w:rsidRDefault="009F2E09" w:rsidP="009F2E09">
      <w:pPr>
        <w:numPr>
          <w:ilvl w:val="0"/>
          <w:numId w:val="6"/>
        </w:numPr>
        <w:jc w:val="both"/>
        <w:rPr>
          <w:rFonts w:ascii="Calibri" w:eastAsia="Calibri" w:hAnsi="Calibri"/>
          <w:sz w:val="22"/>
          <w:szCs w:val="22"/>
        </w:rPr>
      </w:pPr>
      <w:r w:rsidRPr="0021259C">
        <w:rPr>
          <w:rFonts w:ascii="Calibri" w:eastAsia="Calibri" w:hAnsi="Calibri"/>
          <w:sz w:val="22"/>
          <w:szCs w:val="22"/>
        </w:rPr>
        <w:t>lateks – jego obecność jest niebezpieczna dla pacjentów z alergią na lateks,</w:t>
      </w:r>
    </w:p>
    <w:p w:rsidR="009F2E09" w:rsidRPr="0021259C" w:rsidRDefault="009F2E09" w:rsidP="009F2E09">
      <w:pPr>
        <w:numPr>
          <w:ilvl w:val="0"/>
          <w:numId w:val="6"/>
        </w:numPr>
        <w:jc w:val="both"/>
        <w:rPr>
          <w:rFonts w:ascii="Calibri" w:eastAsia="Calibri" w:hAnsi="Calibri"/>
          <w:sz w:val="22"/>
          <w:szCs w:val="22"/>
        </w:rPr>
      </w:pPr>
      <w:r w:rsidRPr="0021259C">
        <w:rPr>
          <w:rFonts w:ascii="Calibri" w:eastAsia="Calibri" w:hAnsi="Calibri"/>
          <w:sz w:val="22"/>
          <w:szCs w:val="22"/>
        </w:rPr>
        <w:t>pirogeny – substancje te oddziaływają na ośrodek termoregulacyjny i przestawiają biologiczny wzorzec temperatury ciała?</w:t>
      </w:r>
    </w:p>
    <w:p w:rsidR="009F2E09" w:rsidRPr="00C42A27" w:rsidRDefault="009F2E09" w:rsidP="009F2E09">
      <w:pPr>
        <w:jc w:val="both"/>
        <w:rPr>
          <w:rFonts w:ascii="Calibri" w:eastAsia="Calibri" w:hAnsi="Calibri"/>
          <w:b/>
          <w:sz w:val="22"/>
          <w:szCs w:val="22"/>
        </w:rPr>
      </w:pPr>
      <w:r>
        <w:rPr>
          <w:rFonts w:ascii="Calibri" w:eastAsia="Calibri" w:hAnsi="Calibri"/>
          <w:b/>
          <w:sz w:val="22"/>
          <w:szCs w:val="22"/>
        </w:rPr>
        <w:t>Pytanie nr 15</w:t>
      </w: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Załącznik nr 1 – Oferta techniczna, PET/CT, WYPOSAŻENIE SKANERA PET/CT, pkt. 133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Czy Zamawiający będzie oczekiwał aby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kontrastu pracował w pełni bezprzewodowo (zasilanie akumulatorowe oraz bezprzewodowa łączność strzykawki z ekranem zdalnym w sterowni)?</w:t>
      </w:r>
      <w:r w:rsidRPr="0021259C">
        <w:rPr>
          <w:rFonts w:ascii="Calibri" w:eastAsia="Calibri" w:hAnsi="Calibri"/>
          <w:sz w:val="22"/>
          <w:szCs w:val="22"/>
        </w:rPr>
        <w:br/>
      </w:r>
      <w:r w:rsidRPr="0021259C">
        <w:rPr>
          <w:rFonts w:ascii="Calibri" w:eastAsia="Calibri" w:hAnsi="Calibri"/>
          <w:b/>
          <w:bCs/>
          <w:sz w:val="22"/>
          <w:szCs w:val="22"/>
        </w:rPr>
        <w:t xml:space="preserve">Uzasadnienie: </w:t>
      </w:r>
      <w:r w:rsidRPr="0021259C">
        <w:rPr>
          <w:rFonts w:ascii="Calibri" w:eastAsia="Calibri" w:hAnsi="Calibri"/>
          <w:b/>
          <w:bCs/>
          <w:sz w:val="22"/>
          <w:szCs w:val="22"/>
        </w:rPr>
        <w:br/>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którego praca nie jest w pełni bezprzewodowa wpłynie na pracę Zamawiającego gdyż:</w:t>
      </w:r>
      <w:r w:rsidRPr="0021259C">
        <w:rPr>
          <w:rFonts w:ascii="Calibri" w:eastAsia="Calibri" w:hAnsi="Calibri"/>
          <w:sz w:val="22"/>
          <w:szCs w:val="22"/>
        </w:rPr>
        <w:br/>
        <w:t xml:space="preserve">- nie będzie mógł przemieszczać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w dowolne miejsce </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 będzie musiał przykładać dodatkową uwagę do tego, żeby nie spowodować awarii poprzez zahaczenie nogami o kabel </w:t>
      </w:r>
      <w:proofErr w:type="spellStart"/>
      <w:r w:rsidRPr="0021259C">
        <w:rPr>
          <w:rFonts w:ascii="Calibri" w:eastAsia="Calibri" w:hAnsi="Calibri"/>
          <w:sz w:val="22"/>
          <w:szCs w:val="22"/>
        </w:rPr>
        <w:t>wstrzykiwacza</w:t>
      </w:r>
      <w:proofErr w:type="spellEnd"/>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będzie mieć utrudnioną pracę z pacjentami na wjeżdżającymi na salę na wózkach szpitalnych.</w:t>
      </w:r>
    </w:p>
    <w:p w:rsidR="009F2E09" w:rsidRPr="00C42A27" w:rsidRDefault="009F2E09" w:rsidP="009F2E09">
      <w:pPr>
        <w:jc w:val="both"/>
        <w:rPr>
          <w:rFonts w:ascii="Calibri" w:eastAsia="Calibri" w:hAnsi="Calibri"/>
          <w:b/>
          <w:sz w:val="22"/>
          <w:szCs w:val="22"/>
        </w:rPr>
      </w:pPr>
      <w:r>
        <w:rPr>
          <w:rFonts w:ascii="Calibri" w:eastAsia="Calibri" w:hAnsi="Calibri"/>
          <w:b/>
          <w:sz w:val="22"/>
          <w:szCs w:val="22"/>
        </w:rPr>
        <w:t>Pytanie nr 16</w:t>
      </w: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Załącznik nr 1 – Oferta techniczna, PET/CT, WYPOSAŻENIE SKANERA PET/CT, pkt. 138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 xml:space="preserve">Czy Zamawiający będzie oczekiwał aby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kontrastu posiadał poza zdalnym ekranem sterującym dodatkowy kolorowy dotykowy ekran sterujący wbudowany w obudowę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kontrastu ? </w:t>
      </w:r>
      <w:r w:rsidRPr="0021259C">
        <w:rPr>
          <w:rFonts w:ascii="Calibri" w:eastAsia="Calibri" w:hAnsi="Calibri"/>
          <w:sz w:val="22"/>
          <w:szCs w:val="22"/>
        </w:rPr>
        <w:br/>
        <w:t xml:space="preserve">Dzięki posiadaniu 2 dotykowych kolorowych ekranów sterujących LCD (jeden wbudowany w strzykawkę, drugi zdalny ekran sterujący LCD przy konsoli CT) </w:t>
      </w:r>
      <w:r w:rsidRPr="0021259C">
        <w:rPr>
          <w:rFonts w:ascii="Calibri" w:eastAsia="Calibri" w:hAnsi="Calibri"/>
          <w:b/>
          <w:bCs/>
          <w:sz w:val="22"/>
          <w:szCs w:val="22"/>
        </w:rPr>
        <w:t>Zamawiający zyskuje</w:t>
      </w:r>
      <w:r w:rsidRPr="0021259C">
        <w:rPr>
          <w:rFonts w:ascii="Calibri" w:eastAsia="Calibri" w:hAnsi="Calibri"/>
          <w:sz w:val="22"/>
          <w:szCs w:val="22"/>
        </w:rPr>
        <w:t>:</w:t>
      </w:r>
    </w:p>
    <w:p w:rsidR="009F2E09" w:rsidRPr="0021259C" w:rsidRDefault="009F2E09" w:rsidP="009F2E09">
      <w:pPr>
        <w:numPr>
          <w:ilvl w:val="0"/>
          <w:numId w:val="3"/>
        </w:numPr>
        <w:suppressAutoHyphens w:val="0"/>
        <w:snapToGrid w:val="0"/>
        <w:jc w:val="both"/>
        <w:rPr>
          <w:rFonts w:ascii="Calibri" w:eastAsia="Calibri" w:hAnsi="Calibri"/>
          <w:sz w:val="22"/>
          <w:szCs w:val="22"/>
          <w:lang w:eastAsia="en-US"/>
        </w:rPr>
      </w:pPr>
      <w:r w:rsidRPr="0021259C">
        <w:rPr>
          <w:rFonts w:ascii="Calibri" w:eastAsia="Calibri" w:hAnsi="Calibri"/>
          <w:sz w:val="22"/>
          <w:szCs w:val="22"/>
        </w:rPr>
        <w:t xml:space="preserve">możliwość programowania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zarówno na ekranie zdalnym umieszczonym przy konsoli CT jaki i możliwość programowania </w:t>
      </w:r>
      <w:proofErr w:type="spellStart"/>
      <w:r w:rsidRPr="0021259C">
        <w:rPr>
          <w:rFonts w:ascii="Calibri" w:eastAsia="Calibri" w:hAnsi="Calibri"/>
          <w:sz w:val="22"/>
          <w:szCs w:val="22"/>
        </w:rPr>
        <w:t>wstrzykiwacza</w:t>
      </w:r>
      <w:proofErr w:type="spellEnd"/>
      <w:r w:rsidRPr="0021259C">
        <w:rPr>
          <w:rFonts w:ascii="Calibri" w:eastAsia="Calibri" w:hAnsi="Calibri"/>
          <w:sz w:val="22"/>
          <w:szCs w:val="22"/>
        </w:rPr>
        <w:t xml:space="preserve"> na ekranie wbudowanym w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przy pacjencie.</w:t>
      </w:r>
    </w:p>
    <w:p w:rsidR="009F2E09" w:rsidRPr="0021259C" w:rsidRDefault="009F2E09" w:rsidP="009F2E09">
      <w:pPr>
        <w:numPr>
          <w:ilvl w:val="0"/>
          <w:numId w:val="3"/>
        </w:numPr>
        <w:suppressAutoHyphens w:val="0"/>
        <w:snapToGrid w:val="0"/>
        <w:jc w:val="both"/>
        <w:rPr>
          <w:rFonts w:ascii="Calibri" w:eastAsia="Calibri" w:hAnsi="Calibri"/>
          <w:sz w:val="22"/>
          <w:szCs w:val="22"/>
        </w:rPr>
      </w:pPr>
      <w:r w:rsidRPr="0021259C">
        <w:rPr>
          <w:rFonts w:ascii="Calibri" w:eastAsia="Calibri" w:hAnsi="Calibri"/>
          <w:sz w:val="22"/>
          <w:szCs w:val="22"/>
        </w:rPr>
        <w:t xml:space="preserve">ekran wbudowany we </w:t>
      </w:r>
      <w:proofErr w:type="spellStart"/>
      <w:r w:rsidRPr="0021259C">
        <w:rPr>
          <w:rFonts w:ascii="Calibri" w:eastAsia="Calibri" w:hAnsi="Calibri"/>
          <w:sz w:val="22"/>
          <w:szCs w:val="22"/>
        </w:rPr>
        <w:t>wstrzykiwacz</w:t>
      </w:r>
      <w:proofErr w:type="spellEnd"/>
      <w:r w:rsidRPr="0021259C">
        <w:rPr>
          <w:rFonts w:ascii="Calibri" w:eastAsia="Calibri" w:hAnsi="Calibri"/>
          <w:sz w:val="22"/>
          <w:szCs w:val="22"/>
        </w:rPr>
        <w:t xml:space="preserve"> powoduje, że procedura napełniania wkładów kontrastem i solą fizjologiczną jest szybsza i prostsza.</w:t>
      </w:r>
    </w:p>
    <w:p w:rsidR="009F2E09" w:rsidRPr="0021259C" w:rsidRDefault="009F2E09" w:rsidP="009F2E09">
      <w:pPr>
        <w:jc w:val="both"/>
        <w:rPr>
          <w:rFonts w:ascii="Calibri" w:eastAsia="Calibri" w:hAnsi="Calibri"/>
          <w:sz w:val="22"/>
          <w:szCs w:val="22"/>
        </w:rPr>
      </w:pPr>
      <w:r w:rsidRPr="0021259C">
        <w:rPr>
          <w:rFonts w:ascii="Calibri" w:eastAsia="Calibri" w:hAnsi="Calibri"/>
          <w:sz w:val="22"/>
          <w:szCs w:val="22"/>
        </w:rPr>
        <w:t>Proponowane rozwiązanie występuję u różnych producentów nowoczesnych systemów do podawania kontrastu zatem Zamawiający wymagając powyższego nie narusza zasad uczciwej konkurencji.</w:t>
      </w:r>
    </w:p>
    <w:p w:rsidR="009F2E09" w:rsidRPr="00C42A27" w:rsidRDefault="009F2E09" w:rsidP="009F2E09">
      <w:pPr>
        <w:jc w:val="both"/>
        <w:rPr>
          <w:rFonts w:ascii="Calibri" w:eastAsia="Calibri" w:hAnsi="Calibri"/>
          <w:b/>
          <w:sz w:val="22"/>
          <w:szCs w:val="22"/>
        </w:rPr>
      </w:pPr>
      <w:r>
        <w:rPr>
          <w:rFonts w:ascii="Calibri" w:eastAsia="Calibri" w:hAnsi="Calibri"/>
          <w:b/>
          <w:sz w:val="22"/>
          <w:szCs w:val="22"/>
        </w:rPr>
        <w:t>Pytanie nr 17</w:t>
      </w:r>
    </w:p>
    <w:p w:rsidR="009F2E09" w:rsidRPr="0021259C" w:rsidRDefault="009F2E09" w:rsidP="009F2E09">
      <w:pPr>
        <w:jc w:val="both"/>
        <w:rPr>
          <w:rFonts w:ascii="Calibri" w:eastAsia="Calibri" w:hAnsi="Calibri"/>
          <w:b/>
          <w:sz w:val="22"/>
          <w:szCs w:val="22"/>
        </w:rPr>
      </w:pPr>
      <w:r w:rsidRPr="0021259C">
        <w:rPr>
          <w:rFonts w:ascii="Calibri" w:eastAsia="Calibri" w:hAnsi="Calibri"/>
          <w:b/>
          <w:sz w:val="22"/>
          <w:szCs w:val="22"/>
        </w:rPr>
        <w:t>Dotyczy: Załącznik nr 1 – Oferta techniczna, PET/CT, WYPOSAŻENIE SKANERA PET/CT, pkt. 133 (</w:t>
      </w:r>
      <w:proofErr w:type="spellStart"/>
      <w:r w:rsidRPr="0021259C">
        <w:rPr>
          <w:rFonts w:ascii="Calibri" w:eastAsia="Calibri" w:hAnsi="Calibri"/>
          <w:b/>
          <w:sz w:val="22"/>
          <w:szCs w:val="22"/>
        </w:rPr>
        <w:t>Wstrzykiwacz</w:t>
      </w:r>
      <w:proofErr w:type="spellEnd"/>
      <w:r w:rsidRPr="0021259C">
        <w:rPr>
          <w:rFonts w:ascii="Calibri" w:eastAsia="Calibri" w:hAnsi="Calibri"/>
          <w:b/>
          <w:sz w:val="22"/>
          <w:szCs w:val="22"/>
        </w:rPr>
        <w:t xml:space="preserve"> kontrastu)</w:t>
      </w:r>
    </w:p>
    <w:p w:rsidR="009F2E09" w:rsidRPr="0021259C" w:rsidRDefault="009F2E09" w:rsidP="009F2E09">
      <w:pPr>
        <w:jc w:val="both"/>
        <w:rPr>
          <w:rFonts w:ascii="Calibri" w:hAnsi="Calibri" w:cs="Arial"/>
          <w:sz w:val="22"/>
          <w:szCs w:val="22"/>
          <w:lang w:eastAsia="pl-PL"/>
        </w:rPr>
      </w:pPr>
      <w:r w:rsidRPr="0021259C">
        <w:rPr>
          <w:rFonts w:ascii="Calibri" w:hAnsi="Calibri" w:cs="Arial"/>
          <w:sz w:val="22"/>
          <w:szCs w:val="22"/>
          <w:lang w:eastAsia="pl-PL"/>
        </w:rPr>
        <w:t xml:space="preserve">Czy Zamawiający będzie oczekiwał dostarczenia </w:t>
      </w:r>
      <w:proofErr w:type="spellStart"/>
      <w:r w:rsidRPr="0021259C">
        <w:rPr>
          <w:rFonts w:ascii="Calibri" w:hAnsi="Calibri" w:cs="Arial"/>
          <w:sz w:val="22"/>
          <w:szCs w:val="22"/>
          <w:lang w:eastAsia="pl-PL"/>
        </w:rPr>
        <w:t>wstrzykiwacza</w:t>
      </w:r>
      <w:proofErr w:type="spellEnd"/>
      <w:r w:rsidRPr="0021259C">
        <w:rPr>
          <w:rFonts w:ascii="Calibri" w:hAnsi="Calibri" w:cs="Arial"/>
          <w:sz w:val="22"/>
          <w:szCs w:val="22"/>
          <w:lang w:eastAsia="pl-PL"/>
        </w:rPr>
        <w:t xml:space="preserve"> kontrastu, który posiada nie tylko możliwość podtrzymania temperatury środka kontrastowego ale również roztworu soli fizjologicznej ?</w:t>
      </w:r>
    </w:p>
    <w:p w:rsidR="009F2E09" w:rsidRPr="0021259C" w:rsidRDefault="009F2E09" w:rsidP="009F2E09">
      <w:pPr>
        <w:jc w:val="both"/>
        <w:rPr>
          <w:rFonts w:ascii="Calibri" w:eastAsia="Calibri" w:hAnsi="Calibri"/>
          <w:bCs/>
          <w:sz w:val="22"/>
          <w:szCs w:val="22"/>
        </w:rPr>
      </w:pPr>
      <w:r w:rsidRPr="0021259C">
        <w:rPr>
          <w:rFonts w:ascii="Calibri" w:hAnsi="Calibri" w:cs="Arial"/>
          <w:b/>
          <w:sz w:val="22"/>
          <w:szCs w:val="22"/>
          <w:lang w:eastAsia="pl-PL"/>
        </w:rPr>
        <w:t>Uzasadnienie:</w:t>
      </w:r>
      <w:r w:rsidRPr="0021259C">
        <w:rPr>
          <w:rFonts w:ascii="Calibri" w:hAnsi="Calibri" w:cs="Arial"/>
          <w:b/>
          <w:sz w:val="22"/>
          <w:szCs w:val="22"/>
          <w:lang w:eastAsia="pl-PL"/>
        </w:rPr>
        <w:br/>
      </w:r>
      <w:r w:rsidRPr="0021259C">
        <w:rPr>
          <w:rFonts w:ascii="Calibri" w:eastAsia="Calibri" w:hAnsi="Calibri"/>
          <w:bCs/>
          <w:sz w:val="22"/>
          <w:szCs w:val="22"/>
        </w:rPr>
        <w:t>Kontrast zgodnie z instrukcją producenta powinien być podgrzany do odpowiedniej temperatury gdyż:</w:t>
      </w:r>
    </w:p>
    <w:p w:rsidR="009F2E09" w:rsidRPr="0021259C" w:rsidRDefault="009F2E09" w:rsidP="009F2E09">
      <w:pPr>
        <w:suppressAutoHyphens w:val="0"/>
        <w:contextualSpacing/>
        <w:jc w:val="both"/>
        <w:rPr>
          <w:rFonts w:ascii="Calibri" w:eastAsia="Calibri" w:hAnsi="Calibri"/>
          <w:bCs/>
          <w:sz w:val="22"/>
          <w:szCs w:val="22"/>
          <w:lang w:eastAsia="en-US"/>
        </w:rPr>
      </w:pPr>
      <w:r w:rsidRPr="0021259C">
        <w:rPr>
          <w:rFonts w:ascii="Calibri" w:eastAsia="Calibri" w:hAnsi="Calibri"/>
          <w:bCs/>
          <w:sz w:val="22"/>
          <w:szCs w:val="22"/>
          <w:lang w:eastAsia="en-US"/>
        </w:rPr>
        <w:t>- zmniejsza wstrząs termiczny (np. jeżeli środek był przechowywany w lodówce);</w:t>
      </w:r>
    </w:p>
    <w:p w:rsidR="009F2E09" w:rsidRPr="0021259C" w:rsidRDefault="009F2E09" w:rsidP="009F2E09">
      <w:pPr>
        <w:suppressAutoHyphens w:val="0"/>
        <w:contextualSpacing/>
        <w:jc w:val="both"/>
        <w:rPr>
          <w:rFonts w:ascii="Calibri" w:eastAsia="Calibri" w:hAnsi="Calibri"/>
          <w:bCs/>
          <w:sz w:val="22"/>
          <w:szCs w:val="22"/>
          <w:lang w:eastAsia="en-US"/>
        </w:rPr>
      </w:pPr>
      <w:r w:rsidRPr="0021259C">
        <w:rPr>
          <w:rFonts w:ascii="Calibri" w:eastAsia="Calibri" w:hAnsi="Calibri"/>
          <w:bCs/>
          <w:sz w:val="22"/>
          <w:szCs w:val="22"/>
          <w:lang w:eastAsia="en-US"/>
        </w:rPr>
        <w:t>- znacząco obniża lepkość środka, ułatwiając w ten sposób jego iniekcję;</w:t>
      </w:r>
    </w:p>
    <w:p w:rsidR="009F2E09" w:rsidRPr="0021259C" w:rsidRDefault="009F2E09" w:rsidP="009F2E09">
      <w:pPr>
        <w:suppressAutoHyphens w:val="0"/>
        <w:contextualSpacing/>
        <w:jc w:val="both"/>
        <w:rPr>
          <w:rFonts w:ascii="Calibri" w:eastAsia="Calibri" w:hAnsi="Calibri"/>
          <w:bCs/>
          <w:sz w:val="22"/>
          <w:szCs w:val="22"/>
          <w:lang w:eastAsia="en-US"/>
        </w:rPr>
      </w:pPr>
      <w:r w:rsidRPr="0021259C">
        <w:rPr>
          <w:rFonts w:ascii="Calibri" w:eastAsia="Calibri" w:hAnsi="Calibri"/>
          <w:bCs/>
          <w:sz w:val="22"/>
          <w:szCs w:val="22"/>
          <w:lang w:eastAsia="en-US"/>
        </w:rPr>
        <w:t>- może zmniejszyć działania niepożądane – np. występowanie bólu czy uczucia gorąca.</w:t>
      </w:r>
    </w:p>
    <w:p w:rsidR="009F2E09" w:rsidRPr="0021259C" w:rsidRDefault="009F2E09" w:rsidP="009F2E09">
      <w:pPr>
        <w:jc w:val="both"/>
        <w:rPr>
          <w:rFonts w:ascii="Calibri" w:hAnsi="Calibri" w:cs="Arial"/>
          <w:b/>
          <w:sz w:val="22"/>
          <w:szCs w:val="22"/>
          <w:lang w:eastAsia="pl-PL"/>
        </w:rPr>
      </w:pPr>
      <w:r w:rsidRPr="0021259C">
        <w:rPr>
          <w:rFonts w:ascii="Calibri" w:eastAsia="Calibri" w:hAnsi="Calibri"/>
          <w:bCs/>
          <w:sz w:val="22"/>
          <w:szCs w:val="22"/>
        </w:rPr>
        <w:t xml:space="preserve">W przypadku mieszania kontrastu z solą fizjologiczną istotne jest aby dodatkowo </w:t>
      </w:r>
      <w:proofErr w:type="spellStart"/>
      <w:r w:rsidRPr="0021259C">
        <w:rPr>
          <w:rFonts w:ascii="Calibri" w:eastAsia="Calibri" w:hAnsi="Calibri"/>
          <w:bCs/>
          <w:sz w:val="22"/>
          <w:szCs w:val="22"/>
        </w:rPr>
        <w:t>wstrzykiwacz</w:t>
      </w:r>
      <w:proofErr w:type="spellEnd"/>
      <w:r w:rsidRPr="0021259C">
        <w:rPr>
          <w:rFonts w:ascii="Calibri" w:eastAsia="Calibri" w:hAnsi="Calibri"/>
          <w:bCs/>
          <w:sz w:val="22"/>
          <w:szCs w:val="22"/>
        </w:rPr>
        <w:t xml:space="preserve"> był wyposażony w ogrzewacz soli fizjologicznej. W innym wypadku zimna sól fizjologiczna obniży temperaturę kontrastu poniżej akceptowanego poziomu.</w:t>
      </w:r>
      <w:r w:rsidRPr="0021259C">
        <w:rPr>
          <w:rFonts w:ascii="Calibri" w:hAnsi="Calibri" w:cs="Arial"/>
          <w:b/>
          <w:sz w:val="22"/>
          <w:szCs w:val="22"/>
          <w:lang w:eastAsia="pl-PL"/>
        </w:rPr>
        <w:t xml:space="preserve"> </w:t>
      </w:r>
    </w:p>
    <w:p w:rsidR="009F2E09" w:rsidRDefault="009F2E09"/>
    <w:p w:rsidR="00B64946" w:rsidRDefault="00B64946"/>
    <w:p w:rsidR="00B64946" w:rsidRDefault="00B64946"/>
    <w:p w:rsidR="00B64946" w:rsidRDefault="00B64946"/>
    <w:p w:rsidR="00B64946" w:rsidRDefault="00B64946"/>
    <w:p w:rsidR="00B64946" w:rsidRDefault="00B64946"/>
    <w:p w:rsidR="00B64946" w:rsidRDefault="00B64946"/>
    <w:p w:rsidR="003165C8" w:rsidRDefault="003165C8">
      <w:pPr>
        <w:rPr>
          <w:rFonts w:ascii="Arial" w:hAnsi="Arial" w:cs="Arial"/>
          <w:b/>
          <w:u w:val="single"/>
        </w:rPr>
      </w:pPr>
      <w:r w:rsidRPr="003165C8">
        <w:rPr>
          <w:rFonts w:ascii="Arial" w:hAnsi="Arial" w:cs="Arial"/>
          <w:b/>
          <w:u w:val="single"/>
        </w:rPr>
        <w:lastRenderedPageBreak/>
        <w:t>Zapytania nr 2 z dnia 05.06.2018</w:t>
      </w:r>
    </w:p>
    <w:p w:rsidR="003165C8" w:rsidRDefault="003165C8">
      <w:pPr>
        <w:rPr>
          <w:rFonts w:ascii="Arial" w:hAnsi="Arial" w:cs="Arial"/>
          <w:b/>
          <w:u w:val="single"/>
        </w:rPr>
      </w:pPr>
    </w:p>
    <w:p w:rsidR="003165C8" w:rsidRDefault="003165C8">
      <w:pPr>
        <w:rPr>
          <w:rFonts w:ascii="Arial" w:hAnsi="Arial" w:cs="Arial"/>
          <w:b/>
        </w:rPr>
      </w:pPr>
      <w:r w:rsidRPr="003165C8">
        <w:rPr>
          <w:rFonts w:ascii="Arial" w:hAnsi="Arial" w:cs="Arial"/>
          <w:b/>
          <w:noProof/>
        </w:rPr>
        <w:drawing>
          <wp:inline distT="0" distB="0" distL="0" distR="0">
            <wp:extent cx="5760720" cy="370363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703639"/>
                    </a:xfrm>
                    <a:prstGeom prst="rect">
                      <a:avLst/>
                    </a:prstGeom>
                    <a:noFill/>
                    <a:ln>
                      <a:noFill/>
                    </a:ln>
                  </pic:spPr>
                </pic:pic>
              </a:graphicData>
            </a:graphic>
          </wp:inline>
        </w:drawing>
      </w:r>
    </w:p>
    <w:p w:rsidR="003165C8" w:rsidRDefault="003165C8">
      <w:pPr>
        <w:rPr>
          <w:rFonts w:ascii="Arial" w:hAnsi="Arial" w:cs="Arial"/>
          <w:b/>
          <w:u w:val="single"/>
        </w:rPr>
      </w:pPr>
      <w:r w:rsidRPr="003165C8">
        <w:rPr>
          <w:rFonts w:ascii="Arial" w:hAnsi="Arial" w:cs="Arial"/>
          <w:b/>
          <w:noProof/>
        </w:rPr>
        <w:lastRenderedPageBreak/>
        <w:drawing>
          <wp:inline distT="0" distB="0" distL="0" distR="0">
            <wp:extent cx="5760720" cy="608293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082937"/>
                    </a:xfrm>
                    <a:prstGeom prst="rect">
                      <a:avLst/>
                    </a:prstGeom>
                    <a:noFill/>
                    <a:ln>
                      <a:noFill/>
                    </a:ln>
                  </pic:spPr>
                </pic:pic>
              </a:graphicData>
            </a:graphic>
          </wp:inline>
        </w:drawing>
      </w:r>
    </w:p>
    <w:p w:rsidR="003165C8" w:rsidRDefault="003165C8">
      <w:pPr>
        <w:rPr>
          <w:rFonts w:ascii="Arial" w:hAnsi="Arial" w:cs="Arial"/>
          <w:b/>
          <w:u w:val="single"/>
        </w:rPr>
      </w:pPr>
      <w:r w:rsidRPr="003165C8">
        <w:rPr>
          <w:rFonts w:ascii="Arial" w:hAnsi="Arial" w:cs="Arial"/>
          <w:b/>
          <w:noProof/>
        </w:rPr>
        <w:lastRenderedPageBreak/>
        <w:drawing>
          <wp:inline distT="0" distB="0" distL="0" distR="0">
            <wp:extent cx="5760720" cy="53458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345880"/>
                    </a:xfrm>
                    <a:prstGeom prst="rect">
                      <a:avLst/>
                    </a:prstGeom>
                    <a:noFill/>
                    <a:ln>
                      <a:noFill/>
                    </a:ln>
                  </pic:spPr>
                </pic:pic>
              </a:graphicData>
            </a:graphic>
          </wp:inline>
        </w:drawing>
      </w:r>
    </w:p>
    <w:p w:rsidR="003165C8" w:rsidRDefault="003165C8">
      <w:pPr>
        <w:rPr>
          <w:rFonts w:ascii="Arial" w:hAnsi="Arial" w:cs="Arial"/>
          <w:b/>
        </w:rPr>
      </w:pPr>
      <w:r w:rsidRPr="003165C8">
        <w:rPr>
          <w:rFonts w:ascii="Arial" w:hAnsi="Arial" w:cs="Arial"/>
          <w:b/>
          <w:noProof/>
        </w:rPr>
        <w:drawing>
          <wp:inline distT="0" distB="0" distL="0" distR="0">
            <wp:extent cx="5760720" cy="182939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829390"/>
                    </a:xfrm>
                    <a:prstGeom prst="rect">
                      <a:avLst/>
                    </a:prstGeom>
                    <a:noFill/>
                    <a:ln>
                      <a:noFill/>
                    </a:ln>
                  </pic:spPr>
                </pic:pic>
              </a:graphicData>
            </a:graphic>
          </wp:inline>
        </w:drawing>
      </w:r>
    </w:p>
    <w:p w:rsidR="004B3B9D" w:rsidRDefault="004B3B9D">
      <w:pPr>
        <w:rPr>
          <w:rFonts w:ascii="Arial" w:hAnsi="Arial" w:cs="Arial"/>
          <w:b/>
        </w:rPr>
      </w:pPr>
    </w:p>
    <w:p w:rsidR="004B3B9D" w:rsidRDefault="004B3B9D">
      <w:pPr>
        <w:rPr>
          <w:rFonts w:ascii="Arial" w:hAnsi="Arial" w:cs="Arial"/>
          <w:b/>
        </w:rPr>
      </w:pPr>
    </w:p>
    <w:p w:rsidR="004B3B9D" w:rsidRDefault="004B3B9D">
      <w:pPr>
        <w:rPr>
          <w:rFonts w:ascii="Arial" w:hAnsi="Arial" w:cs="Arial"/>
          <w:b/>
        </w:rPr>
      </w:pPr>
    </w:p>
    <w:p w:rsidR="004B3B9D" w:rsidRDefault="004B3B9D">
      <w:pPr>
        <w:rPr>
          <w:rFonts w:ascii="Arial" w:hAnsi="Arial" w:cs="Arial"/>
          <w:b/>
        </w:rPr>
      </w:pPr>
    </w:p>
    <w:p w:rsidR="004B3B9D" w:rsidRDefault="004B3B9D">
      <w:pPr>
        <w:rPr>
          <w:rFonts w:ascii="Arial" w:hAnsi="Arial" w:cs="Arial"/>
          <w:b/>
        </w:rPr>
      </w:pPr>
    </w:p>
    <w:p w:rsidR="004B3B9D" w:rsidRDefault="004B3B9D">
      <w:pPr>
        <w:rPr>
          <w:rFonts w:ascii="Arial" w:hAnsi="Arial" w:cs="Arial"/>
          <w:b/>
        </w:rPr>
      </w:pPr>
    </w:p>
    <w:p w:rsidR="004B3B9D" w:rsidRDefault="004B3B9D">
      <w:pPr>
        <w:rPr>
          <w:rFonts w:ascii="Arial" w:hAnsi="Arial" w:cs="Arial"/>
          <w:b/>
        </w:rPr>
      </w:pPr>
    </w:p>
    <w:p w:rsidR="004B3B9D" w:rsidRDefault="004B3B9D">
      <w:pPr>
        <w:rPr>
          <w:rFonts w:ascii="Arial" w:hAnsi="Arial" w:cs="Arial"/>
          <w:b/>
        </w:rPr>
      </w:pPr>
    </w:p>
    <w:p w:rsidR="004B3B9D" w:rsidRDefault="004B3B9D">
      <w:pPr>
        <w:rPr>
          <w:rFonts w:ascii="Arial" w:hAnsi="Arial" w:cs="Arial"/>
          <w:b/>
        </w:rPr>
      </w:pPr>
    </w:p>
    <w:p w:rsidR="004B3B9D" w:rsidRDefault="004B3B9D" w:rsidP="004B3B9D">
      <w:pPr>
        <w:rPr>
          <w:rFonts w:ascii="Arial" w:hAnsi="Arial" w:cs="Arial"/>
          <w:b/>
          <w:u w:val="single"/>
        </w:rPr>
      </w:pPr>
      <w:r w:rsidRPr="002F115B">
        <w:rPr>
          <w:rFonts w:ascii="Arial" w:hAnsi="Arial" w:cs="Arial"/>
          <w:b/>
          <w:u w:val="single"/>
        </w:rPr>
        <w:lastRenderedPageBreak/>
        <w:t>Zapytania nr 3 z dnia 06.06.2018</w:t>
      </w:r>
    </w:p>
    <w:p w:rsidR="004B3B9D" w:rsidRPr="002F115B" w:rsidRDefault="004B3B9D" w:rsidP="004B3B9D">
      <w:pPr>
        <w:rPr>
          <w:rFonts w:ascii="Arial" w:hAnsi="Arial" w:cs="Arial"/>
          <w:b/>
          <w:u w:val="single"/>
        </w:rPr>
      </w:pPr>
    </w:p>
    <w:p w:rsidR="003165C8" w:rsidRDefault="004B3B9D">
      <w:pPr>
        <w:rPr>
          <w:rFonts w:ascii="Arial" w:hAnsi="Arial" w:cs="Arial"/>
          <w:b/>
        </w:rPr>
      </w:pPr>
      <w:r w:rsidRPr="004B3B9D">
        <w:rPr>
          <w:rFonts w:ascii="Arial" w:hAnsi="Arial" w:cs="Arial"/>
          <w:b/>
          <w:noProof/>
        </w:rPr>
        <w:drawing>
          <wp:inline distT="0" distB="0" distL="0" distR="0">
            <wp:extent cx="5760720" cy="204170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041706"/>
                    </a:xfrm>
                    <a:prstGeom prst="rect">
                      <a:avLst/>
                    </a:prstGeom>
                    <a:noFill/>
                    <a:ln>
                      <a:noFill/>
                    </a:ln>
                  </pic:spPr>
                </pic:pic>
              </a:graphicData>
            </a:graphic>
          </wp:inline>
        </w:drawing>
      </w:r>
    </w:p>
    <w:p w:rsidR="00AC648E" w:rsidRDefault="00AC648E">
      <w:pPr>
        <w:rPr>
          <w:rFonts w:ascii="Arial" w:hAnsi="Arial" w:cs="Arial"/>
          <w:b/>
        </w:rPr>
      </w:pPr>
    </w:p>
    <w:p w:rsidR="00AC648E" w:rsidRPr="00AC648E" w:rsidRDefault="00AC648E">
      <w:pPr>
        <w:rPr>
          <w:rFonts w:ascii="Arial" w:hAnsi="Arial" w:cs="Arial"/>
          <w:b/>
          <w:u w:val="single"/>
        </w:rPr>
      </w:pPr>
      <w:r w:rsidRPr="00AC648E">
        <w:rPr>
          <w:rFonts w:ascii="Arial" w:hAnsi="Arial" w:cs="Arial"/>
          <w:b/>
          <w:u w:val="single"/>
        </w:rPr>
        <w:t>Zapytania nr 4 z dnia 07.06.2018</w:t>
      </w:r>
    </w:p>
    <w:p w:rsidR="00AC648E" w:rsidRDefault="00AC648E" w:rsidP="00AC648E">
      <w:pPr>
        <w:spacing w:before="120" w:after="240" w:line="276" w:lineRule="auto"/>
        <w:rPr>
          <w:rFonts w:eastAsia="Calibri"/>
          <w:b/>
          <w:sz w:val="22"/>
          <w:szCs w:val="22"/>
          <w:lang w:eastAsia="en-US"/>
        </w:rPr>
      </w:pPr>
      <w:r>
        <w:rPr>
          <w:rFonts w:eastAsia="Calibri"/>
          <w:b/>
        </w:rPr>
        <w:t>Pytanie nr 1:</w:t>
      </w:r>
    </w:p>
    <w:p w:rsidR="00AC648E" w:rsidRDefault="00AC648E" w:rsidP="00AC648E">
      <w:pPr>
        <w:rPr>
          <w:rFonts w:eastAsiaTheme="minorHAnsi"/>
          <w:b/>
        </w:rPr>
      </w:pPr>
      <w:r>
        <w:rPr>
          <w:b/>
        </w:rPr>
        <w:t>Zalacznik-Nr-1---Oferta-Techniczna</w:t>
      </w:r>
    </w:p>
    <w:p w:rsidR="00AC648E" w:rsidRDefault="00AC648E" w:rsidP="00AC648E">
      <w:pPr>
        <w:rPr>
          <w:b/>
        </w:rPr>
      </w:pPr>
      <w:r>
        <w:rPr>
          <w:b/>
        </w:rPr>
        <w:t>Tomograf komputerowy dedykowany do planowania radioterapii (symulator TK)</w:t>
      </w:r>
    </w:p>
    <w:p w:rsidR="00AC648E" w:rsidRDefault="00AC648E" w:rsidP="00AC648E">
      <w:pPr>
        <w:rPr>
          <w:b/>
        </w:rPr>
      </w:pPr>
      <w:r>
        <w:rPr>
          <w:b/>
        </w:rPr>
        <w:t>Punkt 49.</w:t>
      </w:r>
    </w:p>
    <w:p w:rsidR="00AC648E" w:rsidRDefault="00AC648E" w:rsidP="00AC648E">
      <w:pPr>
        <w:autoSpaceDE w:val="0"/>
        <w:autoSpaceDN w:val="0"/>
        <w:adjustRightInd w:val="0"/>
        <w:spacing w:line="360" w:lineRule="auto"/>
        <w:jc w:val="both"/>
        <w:rPr>
          <w:rFonts w:eastAsia="TimesNewRoman"/>
        </w:rPr>
      </w:pPr>
      <w:r>
        <w:rPr>
          <w:rFonts w:eastAsia="TimesNewRoman"/>
        </w:rPr>
        <w:t xml:space="preserve">Prosimy o dopuszczenie do postępowania przetargowego automatycznego </w:t>
      </w:r>
      <w:proofErr w:type="spellStart"/>
      <w:r>
        <w:rPr>
          <w:rFonts w:eastAsia="TimesNewRoman"/>
        </w:rPr>
        <w:t>bezwkładowego</w:t>
      </w:r>
      <w:proofErr w:type="spellEnd"/>
      <w:r>
        <w:rPr>
          <w:rFonts w:eastAsia="TimesNewRoman"/>
        </w:rPr>
        <w:t xml:space="preserve"> </w:t>
      </w:r>
      <w:proofErr w:type="spellStart"/>
      <w:r>
        <w:rPr>
          <w:rFonts w:eastAsia="TimesNewRoman"/>
        </w:rPr>
        <w:t>wstrzykiwacza</w:t>
      </w:r>
      <w:proofErr w:type="spellEnd"/>
      <w:r>
        <w:rPr>
          <w:rFonts w:eastAsia="TimesNewRoman"/>
        </w:rPr>
        <w:t xml:space="preserve"> i odstąpienie od wymogu sprzężenia tomografu z </w:t>
      </w:r>
      <w:proofErr w:type="spellStart"/>
      <w:r>
        <w:rPr>
          <w:rFonts w:eastAsia="TimesNewRoman"/>
        </w:rPr>
        <w:t>wstrzykiwaczem</w:t>
      </w:r>
      <w:proofErr w:type="spellEnd"/>
      <w:r>
        <w:rPr>
          <w:rFonts w:eastAsia="TimesNewRoman"/>
        </w:rPr>
        <w:t xml:space="preserve"> w min. klasy IV wg. </w:t>
      </w:r>
      <w:proofErr w:type="spellStart"/>
      <w:r>
        <w:rPr>
          <w:rFonts w:eastAsia="TimesNewRoman"/>
        </w:rPr>
        <w:t>CiA</w:t>
      </w:r>
      <w:proofErr w:type="spellEnd"/>
      <w:r>
        <w:rPr>
          <w:rFonts w:eastAsia="TimesNewRoman"/>
        </w:rPr>
        <w:t xml:space="preserve"> 425. Tomografy komputerowe wyposażone są w system monitorowania w czasie rzeczywistym, danych zawierających stopień wysycenia środka cieniującego w ciele pacjenta, które po osiągnięciu odpowiedniego wysycenia kontrastu w zadanym obszarze umożliwiają automatycznie lub ręcznie rozpoczęcie badania. W ten sposób we współrealizowanych dotychczas projektach spełnione jest sprzężenie </w:t>
      </w:r>
      <w:proofErr w:type="spellStart"/>
      <w:r>
        <w:rPr>
          <w:rFonts w:eastAsia="TimesNewRoman"/>
        </w:rPr>
        <w:t>wstrzykiwacza</w:t>
      </w:r>
      <w:proofErr w:type="spellEnd"/>
      <w:r>
        <w:rPr>
          <w:rFonts w:eastAsia="TimesNewRoman"/>
        </w:rPr>
        <w:t xml:space="preserve"> z tomografem umożliwiające automatyczny start badania bez potrzeby fizycznej integracji tomografu i </w:t>
      </w:r>
      <w:proofErr w:type="spellStart"/>
      <w:r>
        <w:rPr>
          <w:rFonts w:eastAsia="TimesNewRoman"/>
        </w:rPr>
        <w:t>wstrzykiwacza</w:t>
      </w:r>
      <w:proofErr w:type="spellEnd"/>
      <w:r>
        <w:rPr>
          <w:rFonts w:eastAsia="TimesNewRoman"/>
        </w:rPr>
        <w:t xml:space="preserve">. Pozytywna odpowiedź pozwoli nam na złożenie ważnej oferty. </w:t>
      </w:r>
    </w:p>
    <w:p w:rsidR="00AC648E" w:rsidRDefault="00AC648E" w:rsidP="00AC648E">
      <w:pPr>
        <w:spacing w:before="120" w:after="240" w:line="276" w:lineRule="auto"/>
        <w:rPr>
          <w:rFonts w:eastAsia="Calibri"/>
          <w:b/>
        </w:rPr>
      </w:pPr>
      <w:r>
        <w:rPr>
          <w:rFonts w:eastAsia="Calibri"/>
          <w:b/>
        </w:rPr>
        <w:t>Pytanie nr 2:</w:t>
      </w:r>
    </w:p>
    <w:p w:rsidR="00AC648E" w:rsidRDefault="00AC648E" w:rsidP="00AC648E">
      <w:pPr>
        <w:rPr>
          <w:rFonts w:eastAsiaTheme="minorHAnsi"/>
          <w:b/>
        </w:rPr>
      </w:pPr>
      <w:r>
        <w:rPr>
          <w:b/>
        </w:rPr>
        <w:t>Zalacznik-Nr-1---Oferta-Techniczna</w:t>
      </w:r>
    </w:p>
    <w:p w:rsidR="00AC648E" w:rsidRDefault="00AC648E" w:rsidP="00AC648E">
      <w:pPr>
        <w:rPr>
          <w:b/>
        </w:rPr>
      </w:pPr>
      <w:r>
        <w:rPr>
          <w:b/>
        </w:rPr>
        <w:t>Tomograf komputerowy dedykowany do planowania radioterapii (symulator TK)</w:t>
      </w:r>
    </w:p>
    <w:p w:rsidR="00AC648E" w:rsidRDefault="00AC648E" w:rsidP="00AC648E">
      <w:pPr>
        <w:spacing w:before="120" w:after="240" w:line="276" w:lineRule="auto"/>
        <w:rPr>
          <w:rFonts w:eastAsia="Calibri"/>
          <w:b/>
        </w:rPr>
      </w:pPr>
      <w:r>
        <w:rPr>
          <w:rFonts w:eastAsia="Calibri"/>
          <w:b/>
        </w:rPr>
        <w:t>Punkt 50.</w:t>
      </w:r>
    </w:p>
    <w:p w:rsidR="00AC648E" w:rsidRDefault="00AC648E" w:rsidP="00AC648E">
      <w:pPr>
        <w:autoSpaceDE w:val="0"/>
        <w:autoSpaceDN w:val="0"/>
        <w:spacing w:line="360" w:lineRule="auto"/>
        <w:jc w:val="both"/>
        <w:rPr>
          <w:rFonts w:eastAsiaTheme="minorHAnsi"/>
        </w:rPr>
      </w:pPr>
      <w:r>
        <w:t xml:space="preserve">Prosimy o dopuszczenie do postępowania przetargowego automatycznego </w:t>
      </w:r>
      <w:proofErr w:type="spellStart"/>
      <w:r>
        <w:t>bezwkładowego</w:t>
      </w:r>
      <w:proofErr w:type="spellEnd"/>
      <w:r>
        <w:t xml:space="preserve"> </w:t>
      </w:r>
      <w:proofErr w:type="spellStart"/>
      <w:r>
        <w:t>wstrzykiwacza</w:t>
      </w:r>
      <w:proofErr w:type="spellEnd"/>
      <w:r>
        <w:t xml:space="preserve"> i odstąpienie od wymogu przesyłania przez </w:t>
      </w:r>
      <w:proofErr w:type="spellStart"/>
      <w:r>
        <w:t>wstrzykiwacz</w:t>
      </w:r>
      <w:proofErr w:type="spellEnd"/>
      <w:r>
        <w:t xml:space="preserve"> raportu dotyczących rzeczywistych parametrów kontrastu (co najmniej objętość, szybkość wstrzyknięcia, opóźnienie) jaką otrzymał pacjent w każdej serii dołączanych do badania w postaci dodatkowej serii DICOM. Opisana opcja występuje wyłącznie przy sprzężeniu </w:t>
      </w:r>
      <w:proofErr w:type="spellStart"/>
      <w:r>
        <w:t>wstrzykiwacza</w:t>
      </w:r>
      <w:proofErr w:type="spellEnd"/>
      <w:r>
        <w:t xml:space="preserve"> z tomografem w klasie IV wg. </w:t>
      </w:r>
      <w:proofErr w:type="spellStart"/>
      <w:r>
        <w:t>CiA</w:t>
      </w:r>
      <w:proofErr w:type="spellEnd"/>
      <w:r>
        <w:t xml:space="preserve"> 425. Pozytywna odpowiedź pozwoli nam na złożenie ważnej oferty. </w:t>
      </w:r>
    </w:p>
    <w:p w:rsidR="00AC648E" w:rsidRDefault="00AC648E" w:rsidP="00AC648E">
      <w:pPr>
        <w:spacing w:before="120" w:after="240" w:line="276" w:lineRule="auto"/>
        <w:rPr>
          <w:rFonts w:eastAsia="Calibri"/>
          <w:b/>
        </w:rPr>
      </w:pPr>
      <w:r>
        <w:rPr>
          <w:rFonts w:eastAsia="Calibri"/>
          <w:b/>
        </w:rPr>
        <w:t>Pytanie nr 3:</w:t>
      </w:r>
    </w:p>
    <w:p w:rsidR="00AC648E" w:rsidRDefault="00AC648E" w:rsidP="00AC648E">
      <w:pPr>
        <w:rPr>
          <w:rFonts w:eastAsiaTheme="minorHAnsi"/>
          <w:b/>
        </w:rPr>
      </w:pPr>
      <w:r>
        <w:rPr>
          <w:b/>
        </w:rPr>
        <w:lastRenderedPageBreak/>
        <w:t>Zalacznik-Nr-1---Oferta-Techniczna</w:t>
      </w:r>
    </w:p>
    <w:p w:rsidR="00AC648E" w:rsidRDefault="00AC648E" w:rsidP="00AC648E">
      <w:pPr>
        <w:rPr>
          <w:b/>
        </w:rPr>
      </w:pPr>
      <w:r>
        <w:rPr>
          <w:b/>
        </w:rPr>
        <w:t>Tomograf komputerowy dedykowany do planowania radioterapii (symulator TK)</w:t>
      </w:r>
    </w:p>
    <w:p w:rsidR="00AC648E" w:rsidRDefault="00AC648E" w:rsidP="00AC648E">
      <w:pPr>
        <w:spacing w:after="120" w:line="276" w:lineRule="auto"/>
        <w:jc w:val="both"/>
        <w:rPr>
          <w:rFonts w:eastAsia="Calibri"/>
          <w:b/>
        </w:rPr>
      </w:pPr>
      <w:r>
        <w:rPr>
          <w:rFonts w:eastAsia="Calibri"/>
          <w:b/>
        </w:rPr>
        <w:t xml:space="preserve">Punkt 51. </w:t>
      </w:r>
    </w:p>
    <w:p w:rsidR="00AC648E" w:rsidRDefault="00AC648E" w:rsidP="00AC648E">
      <w:pPr>
        <w:spacing w:line="312" w:lineRule="auto"/>
        <w:jc w:val="both"/>
        <w:rPr>
          <w:rFonts w:eastAsiaTheme="minorHAnsi"/>
        </w:rPr>
      </w:pPr>
      <w:r>
        <w:t xml:space="preserve">Prosimy o dopuszczenie do postępowania 3 kanałowego </w:t>
      </w:r>
      <w:proofErr w:type="spellStart"/>
      <w:r>
        <w:t>bezwkładowego</w:t>
      </w:r>
      <w:proofErr w:type="spellEnd"/>
      <w:r>
        <w:t xml:space="preserve"> </w:t>
      </w:r>
      <w:proofErr w:type="spellStart"/>
      <w:r>
        <w:t>wstrzykiwacza</w:t>
      </w:r>
      <w:proofErr w:type="spellEnd"/>
      <w:r>
        <w:t xml:space="preserve"> kontrastu do diagnostyki CT. Główną zaletą </w:t>
      </w:r>
      <w:proofErr w:type="spellStart"/>
      <w:r>
        <w:t>wstrzykiwacza</w:t>
      </w:r>
      <w:proofErr w:type="spellEnd"/>
      <w:r>
        <w:t xml:space="preserve"> jest:</w:t>
      </w:r>
    </w:p>
    <w:p w:rsidR="00AC648E" w:rsidRDefault="00AC648E" w:rsidP="00AC648E">
      <w:pPr>
        <w:spacing w:line="312" w:lineRule="auto"/>
        <w:jc w:val="both"/>
      </w:pPr>
      <w:r>
        <w:t xml:space="preserve">Technologia CA </w:t>
      </w:r>
      <w:proofErr w:type="spellStart"/>
      <w:r>
        <w:t>exspress</w:t>
      </w:r>
      <w:proofErr w:type="spellEnd"/>
      <w:r>
        <w:t>: wstrzykiwanie bezpośrednio ze wszystkich dostępnych na rynku pojemników środka kontrastowego.</w:t>
      </w:r>
    </w:p>
    <w:p w:rsidR="00AC648E" w:rsidRDefault="00AC648E" w:rsidP="00AC648E">
      <w:pPr>
        <w:spacing w:line="312" w:lineRule="auto"/>
        <w:jc w:val="both"/>
      </w:pPr>
      <w:r>
        <w:t xml:space="preserve">Eksploatacja </w:t>
      </w:r>
      <w:proofErr w:type="spellStart"/>
      <w:r>
        <w:t>wstrzykiwacza</w:t>
      </w:r>
      <w:proofErr w:type="spellEnd"/>
      <w:r>
        <w:t xml:space="preserve"> jest prowadzona z wykorzystaniem wyłącznie materiałów eksploatacyjnych NIE zawierających związków DEHP (</w:t>
      </w:r>
      <w:proofErr w:type="spellStart"/>
      <w:r>
        <w:t>ftalany</w:t>
      </w:r>
      <w:proofErr w:type="spellEnd"/>
      <w:r>
        <w:t xml:space="preserve"> </w:t>
      </w:r>
      <w:proofErr w:type="spellStart"/>
      <w:r>
        <w:t>dietyloheksylu</w:t>
      </w:r>
      <w:proofErr w:type="spellEnd"/>
      <w:r>
        <w:t>).</w:t>
      </w:r>
    </w:p>
    <w:p w:rsidR="00AC648E" w:rsidRDefault="00AC648E" w:rsidP="00AC648E">
      <w:pPr>
        <w:spacing w:line="312" w:lineRule="auto"/>
        <w:jc w:val="both"/>
      </w:pPr>
      <w:r>
        <w:t>Wężyki 24 godzinne umożliwiające wykonanie dowolnej ilości iniekcji.</w:t>
      </w:r>
    </w:p>
    <w:p w:rsidR="00AC648E" w:rsidRDefault="00AC648E" w:rsidP="00AC648E">
      <w:pPr>
        <w:spacing w:line="312" w:lineRule="auto"/>
        <w:jc w:val="both"/>
      </w:pPr>
      <w:r>
        <w:t>Oszczędność środka kontrastowego w wyniku wstępnego i wtórnego wypełnienia NaCl systemu wężyków,</w:t>
      </w:r>
    </w:p>
    <w:p w:rsidR="00AC648E" w:rsidRDefault="00AC648E" w:rsidP="00AC648E">
      <w:pPr>
        <w:pStyle w:val="Akapitzlist"/>
        <w:spacing w:after="0" w:line="312" w:lineRule="auto"/>
        <w:ind w:left="0"/>
        <w:jc w:val="both"/>
        <w:rPr>
          <w:rFonts w:ascii="Times New Roman" w:hAnsi="Times New Roman" w:cs="Times New Roman"/>
        </w:rPr>
      </w:pPr>
      <w:r>
        <w:rPr>
          <w:rFonts w:ascii="Times New Roman" w:hAnsi="Times New Roman" w:cs="Times New Roman"/>
        </w:rPr>
        <w:t xml:space="preserve">Dane techniczne </w:t>
      </w:r>
      <w:proofErr w:type="spellStart"/>
      <w:r>
        <w:rPr>
          <w:rFonts w:ascii="Times New Roman" w:hAnsi="Times New Roman" w:cs="Times New Roman"/>
        </w:rPr>
        <w:t>wstrzykiwacza</w:t>
      </w:r>
      <w:proofErr w:type="spellEnd"/>
      <w:r>
        <w:rPr>
          <w:rFonts w:ascii="Times New Roman" w:hAnsi="Times New Roman" w:cs="Times New Roman"/>
        </w:rPr>
        <w:t>:</w:t>
      </w:r>
    </w:p>
    <w:p w:rsidR="00AC648E" w:rsidRDefault="00AC648E" w:rsidP="00AC648E">
      <w:pPr>
        <w:pStyle w:val="Akapitzlist"/>
        <w:numPr>
          <w:ilvl w:val="0"/>
          <w:numId w:val="9"/>
        </w:numPr>
        <w:spacing w:after="0" w:line="312" w:lineRule="auto"/>
        <w:jc w:val="both"/>
        <w:rPr>
          <w:rFonts w:ascii="Times New Roman" w:hAnsi="Times New Roman" w:cs="Times New Roman"/>
        </w:rPr>
      </w:pPr>
      <w:r>
        <w:rPr>
          <w:rFonts w:ascii="Times New Roman" w:hAnsi="Times New Roman" w:cs="Times New Roman"/>
        </w:rPr>
        <w:t>Rodzaj zasilania: bateryjne + sieciowe 230V,</w:t>
      </w:r>
    </w:p>
    <w:p w:rsidR="00AC648E" w:rsidRDefault="00AC648E" w:rsidP="00AC648E">
      <w:pPr>
        <w:pStyle w:val="Akapitzlist"/>
        <w:numPr>
          <w:ilvl w:val="0"/>
          <w:numId w:val="9"/>
        </w:numPr>
        <w:spacing w:after="0" w:line="312" w:lineRule="auto"/>
        <w:jc w:val="both"/>
        <w:rPr>
          <w:rFonts w:ascii="Times New Roman" w:hAnsi="Times New Roman" w:cs="Times New Roman"/>
        </w:rPr>
      </w:pPr>
      <w:r>
        <w:rPr>
          <w:rFonts w:ascii="Times New Roman" w:hAnsi="Times New Roman" w:cs="Times New Roman"/>
        </w:rPr>
        <w:t>Strzykawka na konstrukcji jezdnej z blokadą kół,</w:t>
      </w:r>
    </w:p>
    <w:p w:rsidR="00AC648E" w:rsidRDefault="00AC648E" w:rsidP="00AC648E">
      <w:pPr>
        <w:pStyle w:val="Akapitzlist"/>
        <w:numPr>
          <w:ilvl w:val="0"/>
          <w:numId w:val="9"/>
        </w:numPr>
        <w:spacing w:after="0" w:line="312" w:lineRule="auto"/>
        <w:jc w:val="both"/>
        <w:rPr>
          <w:rFonts w:ascii="Times New Roman" w:hAnsi="Times New Roman" w:cs="Times New Roman"/>
        </w:rPr>
      </w:pPr>
      <w:r>
        <w:rPr>
          <w:rFonts w:ascii="Times New Roman" w:hAnsi="Times New Roman" w:cs="Times New Roman"/>
        </w:rPr>
        <w:t xml:space="preserve">Sposób połączenia </w:t>
      </w:r>
      <w:proofErr w:type="spellStart"/>
      <w:r>
        <w:rPr>
          <w:rFonts w:ascii="Times New Roman" w:hAnsi="Times New Roman" w:cs="Times New Roman"/>
        </w:rPr>
        <w:t>wstrzykiwacza</w:t>
      </w:r>
      <w:proofErr w:type="spellEnd"/>
      <w:r>
        <w:rPr>
          <w:rFonts w:ascii="Times New Roman" w:hAnsi="Times New Roman" w:cs="Times New Roman"/>
        </w:rPr>
        <w:t xml:space="preserve"> z konsolą sterującą: bezprzewodowo (technologia </w:t>
      </w:r>
      <w:proofErr w:type="spellStart"/>
      <w:r>
        <w:rPr>
          <w:rFonts w:ascii="Times New Roman" w:hAnsi="Times New Roman" w:cs="Times New Roman"/>
        </w:rPr>
        <w:t>bluetooth</w:t>
      </w:r>
      <w:proofErr w:type="spellEnd"/>
      <w:r>
        <w:rPr>
          <w:rFonts w:ascii="Times New Roman" w:hAnsi="Times New Roman" w:cs="Times New Roman"/>
        </w:rPr>
        <w:t>),</w:t>
      </w:r>
    </w:p>
    <w:p w:rsidR="00AC648E" w:rsidRDefault="00AC648E" w:rsidP="00AC648E">
      <w:pPr>
        <w:pStyle w:val="Akapitzlist"/>
        <w:numPr>
          <w:ilvl w:val="0"/>
          <w:numId w:val="9"/>
        </w:numPr>
        <w:spacing w:after="0" w:line="312" w:lineRule="auto"/>
        <w:jc w:val="both"/>
        <w:rPr>
          <w:rFonts w:ascii="Times New Roman" w:hAnsi="Times New Roman" w:cs="Times New Roman"/>
        </w:rPr>
      </w:pPr>
      <w:r>
        <w:rPr>
          <w:rFonts w:ascii="Times New Roman" w:hAnsi="Times New Roman" w:cs="Times New Roman"/>
        </w:rPr>
        <w:t>Aktywne podgrzewanie zainstalowanych pojemników z kontrastem,</w:t>
      </w:r>
    </w:p>
    <w:p w:rsidR="00AC648E" w:rsidRDefault="00AC648E" w:rsidP="00AC648E">
      <w:pPr>
        <w:pStyle w:val="Akapitzlist"/>
        <w:numPr>
          <w:ilvl w:val="0"/>
          <w:numId w:val="9"/>
        </w:numPr>
        <w:spacing w:after="0" w:line="312" w:lineRule="auto"/>
        <w:jc w:val="both"/>
        <w:rPr>
          <w:rFonts w:ascii="Times New Roman" w:hAnsi="Times New Roman" w:cs="Times New Roman"/>
        </w:rPr>
      </w:pPr>
      <w:r>
        <w:rPr>
          <w:rFonts w:ascii="Times New Roman" w:hAnsi="Times New Roman" w:cs="Times New Roman"/>
        </w:rPr>
        <w:t>Pamięć 100 programów (maksymalnie 40 faz w jednym protokole), które można łatwo zapisać na nośniku USB i ponownie odtworzyć,</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Szybkość przepływu (ze środkiem kontrastowym): 0.1-10.0 ml/s, krokowo 0.1 ml/s,</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Maksymalna objętość płynów gotowa do podania: 400 ml/1 pacjenta, krokowo 1.0 ml,</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 xml:space="preserve">Możliwość stosowania dwóch butelek z kontrastem każdego z dostępnych producentów środków kontrastowych w pojemności od 50 do 500ml, </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Możliwość zastosowania butelki lub worka z roztworem soli fizjologicznej w objętości do 1000ml,</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Praca z funkcją automatycznego przełączania się pomiędzy butelkami dla takiego samego kontrastu,</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Praca z funkcją manualnego wyboru kontrastu przy zastosowaniu dwóch różnych środków kontrastowych,</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Funkcja pozwalająca na naprzemienne podawanie bardzo małych ilości soli i kontrastu. Możliwość wyboru „mieszania” w różnym stopniu procentowym min.: 14%, 20%, 25%, 33%, 50%,</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Monitorowanie ciśnienia: 2 czujniki piezoelektryczne, wykres ciśnienia w czasie rzeczywistym,</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5 detektorów szybko i niezawodnie wykrywają powietrze w systemie,</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Zamknięty obieg płynów,</w:t>
      </w:r>
    </w:p>
    <w:p w:rsidR="00AC648E" w:rsidRDefault="00AC648E" w:rsidP="00AC648E">
      <w:pPr>
        <w:pStyle w:val="Akapitzlist"/>
        <w:numPr>
          <w:ilvl w:val="0"/>
          <w:numId w:val="10"/>
        </w:numPr>
        <w:spacing w:after="0" w:line="312" w:lineRule="auto"/>
        <w:jc w:val="both"/>
        <w:rPr>
          <w:rFonts w:ascii="Times New Roman" w:hAnsi="Times New Roman" w:cs="Times New Roman"/>
        </w:rPr>
      </w:pPr>
      <w:proofErr w:type="spellStart"/>
      <w:r>
        <w:rPr>
          <w:rFonts w:ascii="Times New Roman" w:hAnsi="Times New Roman" w:cs="Times New Roman"/>
        </w:rPr>
        <w:t>Wstrzykiwacz</w:t>
      </w:r>
      <w:proofErr w:type="spellEnd"/>
      <w:r>
        <w:rPr>
          <w:rFonts w:ascii="Times New Roman" w:hAnsi="Times New Roman" w:cs="Times New Roman"/>
        </w:rPr>
        <w:t xml:space="preserve"> jest wyposażony w jeden kolorowy dotykowy panel sterujący umieszczony w sterowni tomografu oraz drugi panel umieszczony na </w:t>
      </w:r>
      <w:proofErr w:type="spellStart"/>
      <w:r>
        <w:rPr>
          <w:rFonts w:ascii="Times New Roman" w:hAnsi="Times New Roman" w:cs="Times New Roman"/>
        </w:rPr>
        <w:t>wstrzykiwaczu</w:t>
      </w:r>
      <w:proofErr w:type="spellEnd"/>
      <w:r>
        <w:rPr>
          <w:rFonts w:ascii="Times New Roman" w:hAnsi="Times New Roman" w:cs="Times New Roman"/>
        </w:rPr>
        <w:t xml:space="preserve"> kontrastu, z którego można wystartować jak i zatrzymać awaryjnie iniekcję oraz przeprowadzić iniekcję próbną. Panel ten również wyświetla parametry zadanej iniekcji i ciśnienie w systemie wężyków podczas podawania kontrastu. </w:t>
      </w:r>
      <w:proofErr w:type="spellStart"/>
      <w:r>
        <w:rPr>
          <w:rFonts w:ascii="Times New Roman" w:hAnsi="Times New Roman" w:cs="Times New Roman"/>
        </w:rPr>
        <w:t>Wstrzykiwacz</w:t>
      </w:r>
      <w:proofErr w:type="spellEnd"/>
      <w:r>
        <w:rPr>
          <w:rFonts w:ascii="Times New Roman" w:hAnsi="Times New Roman" w:cs="Times New Roman"/>
        </w:rPr>
        <w:t xml:space="preserve"> wyposażony jest w interfejs obsługi w języku polskim,</w:t>
      </w:r>
    </w:p>
    <w:p w:rsidR="00AC648E" w:rsidRDefault="00AC648E" w:rsidP="00AC648E">
      <w:pPr>
        <w:tabs>
          <w:tab w:val="left" w:pos="7830"/>
        </w:tabs>
        <w:spacing w:line="312" w:lineRule="auto"/>
        <w:jc w:val="both"/>
        <w:rPr>
          <w:bCs/>
        </w:rPr>
      </w:pPr>
      <w:r>
        <w:rPr>
          <w:bCs/>
        </w:rPr>
        <w:t>Prosimy o pozytywne rozpatrzenie naszej prośby.</w:t>
      </w:r>
    </w:p>
    <w:p w:rsidR="00AC648E" w:rsidRDefault="00AC648E" w:rsidP="00AC648E">
      <w:pPr>
        <w:spacing w:before="120" w:after="240" w:line="276" w:lineRule="auto"/>
        <w:rPr>
          <w:rFonts w:eastAsia="Calibri"/>
          <w:b/>
        </w:rPr>
      </w:pPr>
      <w:r>
        <w:rPr>
          <w:rFonts w:eastAsia="Calibri"/>
          <w:b/>
        </w:rPr>
        <w:t>Pytanie nr 4:</w:t>
      </w:r>
    </w:p>
    <w:p w:rsidR="00AC648E" w:rsidRDefault="00AC648E" w:rsidP="00AC648E">
      <w:pPr>
        <w:rPr>
          <w:rFonts w:eastAsiaTheme="minorHAnsi"/>
          <w:b/>
        </w:rPr>
      </w:pPr>
      <w:r>
        <w:rPr>
          <w:b/>
        </w:rPr>
        <w:t>Zalacznik-Nr-1---Oferta-Techniczna</w:t>
      </w:r>
    </w:p>
    <w:p w:rsidR="00AC648E" w:rsidRDefault="00AC648E" w:rsidP="00AC648E">
      <w:pPr>
        <w:rPr>
          <w:b/>
        </w:rPr>
      </w:pPr>
      <w:r>
        <w:rPr>
          <w:b/>
        </w:rPr>
        <w:t>Tomograf komputerowy dedykowany do planowania radioterapii (symulator TK)</w:t>
      </w:r>
    </w:p>
    <w:p w:rsidR="00AC648E" w:rsidRDefault="00AC648E" w:rsidP="00AC648E">
      <w:pPr>
        <w:spacing w:after="120" w:line="276" w:lineRule="auto"/>
        <w:jc w:val="both"/>
        <w:rPr>
          <w:rFonts w:eastAsia="Calibri"/>
          <w:b/>
        </w:rPr>
      </w:pPr>
      <w:r>
        <w:rPr>
          <w:rFonts w:eastAsia="Calibri"/>
          <w:b/>
        </w:rPr>
        <w:t xml:space="preserve">Punkt 51. </w:t>
      </w:r>
    </w:p>
    <w:p w:rsidR="00AC648E" w:rsidRDefault="00AC648E" w:rsidP="00AC648E">
      <w:pPr>
        <w:tabs>
          <w:tab w:val="left" w:pos="7830"/>
        </w:tabs>
        <w:spacing w:line="312" w:lineRule="auto"/>
        <w:jc w:val="both"/>
        <w:rPr>
          <w:rFonts w:eastAsiaTheme="minorHAnsi"/>
        </w:rPr>
      </w:pPr>
      <w:r>
        <w:lastRenderedPageBreak/>
        <w:t xml:space="preserve">Mając na uwadze komfort obsługi urządzenia oraz aspekt ekonomiczny, zwracamy się z pytaniem: czy Zamawiający będzie wymagał, aby dostarczony </w:t>
      </w:r>
      <w:proofErr w:type="spellStart"/>
      <w:r>
        <w:t>wstrzykiwacz</w:t>
      </w:r>
      <w:proofErr w:type="spellEnd"/>
      <w:r>
        <w:t xml:space="preserve"> posiadał interfejs w języku polskim, a główne materiały eksploatacyjne przeznaczone były do używania przez 24h niezależnie od ilości wykonanych iniekcji czy zużytego środka kontrastującego? Znacząco zwiększa to przejrzystość obsługi, a zarazem przyspiesza pracę i zmniejsza ryzyko błędu, czyniąc obsługę łatwą i bezpieczną.</w:t>
      </w:r>
    </w:p>
    <w:p w:rsidR="00AC648E" w:rsidRDefault="00AC648E" w:rsidP="00AC648E">
      <w:pPr>
        <w:spacing w:before="120" w:after="240" w:line="276" w:lineRule="auto"/>
        <w:rPr>
          <w:rFonts w:eastAsia="Calibri"/>
          <w:b/>
        </w:rPr>
      </w:pPr>
      <w:r>
        <w:rPr>
          <w:rFonts w:eastAsia="Calibri"/>
          <w:b/>
        </w:rPr>
        <w:t>Pytanie nr 5:</w:t>
      </w:r>
    </w:p>
    <w:p w:rsidR="00AC648E" w:rsidRDefault="00AC648E" w:rsidP="00AC648E">
      <w:pPr>
        <w:rPr>
          <w:rFonts w:eastAsiaTheme="minorHAnsi"/>
          <w:b/>
        </w:rPr>
      </w:pPr>
      <w:r>
        <w:rPr>
          <w:b/>
        </w:rPr>
        <w:t>Zalacznik-Nr-1---Oferta-Techniczna</w:t>
      </w:r>
    </w:p>
    <w:p w:rsidR="00AC648E" w:rsidRDefault="00AC648E" w:rsidP="00AC648E">
      <w:pPr>
        <w:rPr>
          <w:b/>
        </w:rPr>
      </w:pPr>
      <w:r>
        <w:rPr>
          <w:b/>
        </w:rPr>
        <w:t>REZONANS MAGNETYCZNY  DO DIAGNOSTYKI ORAZ WSPARCIA PROCESU PLANOWANIA RADIOTERAPII</w:t>
      </w:r>
    </w:p>
    <w:p w:rsidR="00AC648E" w:rsidRDefault="00AC648E" w:rsidP="00AC648E">
      <w:pPr>
        <w:rPr>
          <w:b/>
        </w:rPr>
      </w:pPr>
      <w:r>
        <w:rPr>
          <w:b/>
        </w:rPr>
        <w:t>Punkt 226.</w:t>
      </w:r>
    </w:p>
    <w:p w:rsidR="00AC648E" w:rsidRDefault="00AC648E" w:rsidP="00AC648E">
      <w:pPr>
        <w:snapToGrid w:val="0"/>
        <w:spacing w:line="360" w:lineRule="auto"/>
        <w:jc w:val="both"/>
      </w:pPr>
      <w:r>
        <w:t xml:space="preserve">Czy Zamawiający dopuści do przetargu automatyczną </w:t>
      </w:r>
      <w:proofErr w:type="spellStart"/>
      <w:r>
        <w:t>bezwkładową</w:t>
      </w:r>
      <w:proofErr w:type="spellEnd"/>
      <w:r>
        <w:t xml:space="preserve"> strzykawkę MAX3 firmy Ulrich GmbH &amp; Co. KG przeznaczoną do podawania kontrastu przy badaniach MR do 3T.</w:t>
      </w:r>
    </w:p>
    <w:p w:rsidR="00AC648E" w:rsidRDefault="00AC648E" w:rsidP="00AC648E">
      <w:pPr>
        <w:spacing w:line="360" w:lineRule="auto"/>
        <w:jc w:val="both"/>
      </w:pPr>
      <w:r>
        <w:t>Główną zaletą strzykawki jest:</w:t>
      </w:r>
    </w:p>
    <w:p w:rsidR="00AC648E" w:rsidRDefault="00AC648E" w:rsidP="00AC648E">
      <w:pPr>
        <w:numPr>
          <w:ilvl w:val="0"/>
          <w:numId w:val="11"/>
        </w:numPr>
        <w:suppressAutoHyphens w:val="0"/>
        <w:spacing w:after="100" w:afterAutospacing="1" w:line="360" w:lineRule="auto"/>
        <w:contextualSpacing/>
        <w:jc w:val="both"/>
      </w:pPr>
      <w:r>
        <w:t>Bezpośrednia iniekcja kontrastu z opakowań producenta,</w:t>
      </w:r>
    </w:p>
    <w:p w:rsidR="00AC648E" w:rsidRDefault="00AC648E" w:rsidP="00AC648E">
      <w:pPr>
        <w:numPr>
          <w:ilvl w:val="0"/>
          <w:numId w:val="11"/>
        </w:numPr>
        <w:suppressAutoHyphens w:val="0"/>
        <w:spacing w:before="100" w:beforeAutospacing="1" w:after="100" w:afterAutospacing="1" w:line="360" w:lineRule="auto"/>
        <w:contextualSpacing/>
        <w:jc w:val="both"/>
      </w:pPr>
      <w:r>
        <w:t>Krótki czas przygotowania strzykawki pomiędzy badaniami,</w:t>
      </w:r>
    </w:p>
    <w:p w:rsidR="00AC648E" w:rsidRDefault="00AC648E" w:rsidP="00AC648E">
      <w:pPr>
        <w:numPr>
          <w:ilvl w:val="0"/>
          <w:numId w:val="11"/>
        </w:numPr>
        <w:suppressAutoHyphens w:val="0"/>
        <w:spacing w:before="100" w:beforeAutospacing="1" w:after="100" w:afterAutospacing="1" w:line="360" w:lineRule="auto"/>
        <w:contextualSpacing/>
        <w:jc w:val="both"/>
      </w:pPr>
      <w:r>
        <w:t xml:space="preserve">24 godzinny system materiałów zużywalnych: </w:t>
      </w:r>
      <w:proofErr w:type="spellStart"/>
      <w:r>
        <w:t>Easy</w:t>
      </w:r>
      <w:proofErr w:type="spellEnd"/>
      <w:r>
        <w:t>-</w:t>
      </w:r>
      <w:proofErr w:type="spellStart"/>
      <w:r>
        <w:t>Click</w:t>
      </w:r>
      <w:proofErr w:type="spellEnd"/>
      <w:r>
        <w:t>-Kaseta umożliwiająca wykonanie dowolnej ilości iniekcji,</w:t>
      </w:r>
    </w:p>
    <w:p w:rsidR="00AC648E" w:rsidRDefault="00AC648E" w:rsidP="00AC648E">
      <w:pPr>
        <w:numPr>
          <w:ilvl w:val="0"/>
          <w:numId w:val="11"/>
        </w:numPr>
        <w:suppressAutoHyphens w:val="0"/>
        <w:spacing w:before="100" w:beforeAutospacing="1" w:after="100" w:afterAutospacing="1" w:line="360" w:lineRule="auto"/>
        <w:contextualSpacing/>
        <w:jc w:val="both"/>
      </w:pPr>
      <w:r>
        <w:t>Automatyczne przełączanie podawania środka kontrastowego z opróżnionego opakowania na pełne,</w:t>
      </w:r>
    </w:p>
    <w:p w:rsidR="00AC648E" w:rsidRDefault="00AC648E" w:rsidP="00AC648E">
      <w:pPr>
        <w:numPr>
          <w:ilvl w:val="0"/>
          <w:numId w:val="11"/>
        </w:numPr>
        <w:suppressAutoHyphens w:val="0"/>
        <w:spacing w:before="100" w:beforeAutospacing="1" w:after="100" w:afterAutospacing="1" w:line="360" w:lineRule="auto"/>
        <w:contextualSpacing/>
        <w:jc w:val="both"/>
      </w:pPr>
      <w:r>
        <w:t>Oszczędność środka kontrastowego w wyniku wstępnego i wtórnego wypełnienia NaCl systemu wężyków,</w:t>
      </w:r>
    </w:p>
    <w:p w:rsidR="00AC648E" w:rsidRDefault="00AC648E" w:rsidP="00AC648E">
      <w:pPr>
        <w:numPr>
          <w:ilvl w:val="0"/>
          <w:numId w:val="11"/>
        </w:numPr>
        <w:suppressAutoHyphens w:val="0"/>
        <w:spacing w:before="100" w:beforeAutospacing="1" w:after="100" w:afterAutospacing="1" w:line="360" w:lineRule="auto"/>
        <w:contextualSpacing/>
        <w:jc w:val="both"/>
      </w:pPr>
      <w:r>
        <w:t>4 detektory szybko i niezawodnie wykrywające powietrze w systemie,</w:t>
      </w:r>
    </w:p>
    <w:p w:rsidR="00AC648E" w:rsidRDefault="00AC648E" w:rsidP="00AC648E">
      <w:pPr>
        <w:numPr>
          <w:ilvl w:val="0"/>
          <w:numId w:val="11"/>
        </w:numPr>
        <w:suppressAutoHyphens w:val="0"/>
        <w:spacing w:before="100" w:beforeAutospacing="1" w:after="100" w:afterAutospacing="1" w:line="360" w:lineRule="auto"/>
        <w:contextualSpacing/>
        <w:jc w:val="both"/>
      </w:pPr>
      <w:r>
        <w:t>Kolorowy, dotykowy panel sterujący z interfejsem w języku polskim.</w:t>
      </w:r>
    </w:p>
    <w:p w:rsidR="00AC648E" w:rsidRDefault="00AC648E" w:rsidP="00AC648E">
      <w:r>
        <w:t>Dane techniczne strzykawki MAX3 firmy Ulrich GmbH &amp; Co. KG:</w:t>
      </w:r>
    </w:p>
    <w:p w:rsidR="00AC648E" w:rsidRDefault="00AC648E" w:rsidP="00AC648E">
      <w:pPr>
        <w:numPr>
          <w:ilvl w:val="0"/>
          <w:numId w:val="9"/>
        </w:numPr>
        <w:suppressAutoHyphens w:val="0"/>
        <w:spacing w:before="100" w:beforeAutospacing="1" w:after="100" w:afterAutospacing="1" w:line="360" w:lineRule="auto"/>
        <w:contextualSpacing/>
        <w:jc w:val="both"/>
      </w:pPr>
      <w:r>
        <w:t>Rodzaj zasilania: bateryjne,</w:t>
      </w:r>
    </w:p>
    <w:p w:rsidR="00AC648E" w:rsidRDefault="00AC648E" w:rsidP="00AC648E">
      <w:pPr>
        <w:numPr>
          <w:ilvl w:val="0"/>
          <w:numId w:val="9"/>
        </w:numPr>
        <w:suppressAutoHyphens w:val="0"/>
        <w:spacing w:before="100" w:beforeAutospacing="1" w:after="100" w:afterAutospacing="1" w:line="360" w:lineRule="auto"/>
        <w:contextualSpacing/>
        <w:jc w:val="both"/>
      </w:pPr>
      <w:r>
        <w:t xml:space="preserve">Sposób połączenia </w:t>
      </w:r>
      <w:proofErr w:type="spellStart"/>
      <w:r>
        <w:t>wstrzykiwacza</w:t>
      </w:r>
      <w:proofErr w:type="spellEnd"/>
      <w:r>
        <w:t xml:space="preserve"> z konsolą sterującą: bezprzewodowe (technologia WLAN),</w:t>
      </w:r>
    </w:p>
    <w:p w:rsidR="00AC648E" w:rsidRDefault="00AC648E" w:rsidP="00AC648E">
      <w:pPr>
        <w:numPr>
          <w:ilvl w:val="0"/>
          <w:numId w:val="9"/>
        </w:numPr>
        <w:suppressAutoHyphens w:val="0"/>
        <w:spacing w:before="100" w:beforeAutospacing="1" w:after="100" w:afterAutospacing="1" w:line="360" w:lineRule="auto"/>
        <w:contextualSpacing/>
        <w:jc w:val="both"/>
      </w:pPr>
      <w:r>
        <w:t>Pamięć 200 programów,</w:t>
      </w:r>
    </w:p>
    <w:p w:rsidR="00AC648E" w:rsidRDefault="00AC648E" w:rsidP="00AC648E">
      <w:pPr>
        <w:numPr>
          <w:ilvl w:val="0"/>
          <w:numId w:val="10"/>
        </w:numPr>
        <w:suppressAutoHyphens w:val="0"/>
        <w:spacing w:before="120" w:after="120" w:line="360" w:lineRule="auto"/>
        <w:contextualSpacing/>
        <w:jc w:val="both"/>
      </w:pPr>
      <w:r>
        <w:t>Szybkość przepływu (ze środkiem kontrastowym): 0.1-10.0 ml/s, krokowo 0.1 ml/s,</w:t>
      </w:r>
    </w:p>
    <w:p w:rsidR="00AC648E" w:rsidRDefault="00AC648E" w:rsidP="00AC648E">
      <w:pPr>
        <w:numPr>
          <w:ilvl w:val="0"/>
          <w:numId w:val="10"/>
        </w:numPr>
        <w:suppressAutoHyphens w:val="0"/>
        <w:spacing w:before="120" w:after="120" w:line="360" w:lineRule="auto"/>
        <w:contextualSpacing/>
        <w:jc w:val="both"/>
      </w:pPr>
      <w:r>
        <w:t>Maksymalne ciśnienie w systemie wężyków 17bar (247psi),</w:t>
      </w:r>
    </w:p>
    <w:p w:rsidR="00AC648E" w:rsidRDefault="00AC648E" w:rsidP="00AC648E">
      <w:pPr>
        <w:numPr>
          <w:ilvl w:val="0"/>
          <w:numId w:val="10"/>
        </w:numPr>
        <w:suppressAutoHyphens w:val="0"/>
        <w:spacing w:before="120" w:after="120" w:line="360" w:lineRule="auto"/>
        <w:contextualSpacing/>
        <w:jc w:val="both"/>
      </w:pPr>
      <w:r>
        <w:t>Maksymalna objętość płynów gotowa do podania: 400 ml/1 pacjenta, krokowo 1.0 ml,</w:t>
      </w:r>
    </w:p>
    <w:p w:rsidR="00AC648E" w:rsidRDefault="00AC648E" w:rsidP="00AC648E">
      <w:pPr>
        <w:numPr>
          <w:ilvl w:val="0"/>
          <w:numId w:val="10"/>
        </w:numPr>
        <w:suppressAutoHyphens w:val="0"/>
        <w:spacing w:before="120" w:after="120" w:line="360" w:lineRule="auto"/>
        <w:contextualSpacing/>
        <w:jc w:val="both"/>
      </w:pPr>
      <w:r>
        <w:t xml:space="preserve">Maksymalna objętość płynów: CA maksymalnie 2 x 200 ml, NaCl maksymalnie 1 x </w:t>
      </w:r>
      <w:r>
        <w:rPr>
          <w:color w:val="000000"/>
        </w:rPr>
        <w:t>2000 ml,</w:t>
      </w:r>
    </w:p>
    <w:p w:rsidR="00AC648E" w:rsidRDefault="00AC648E" w:rsidP="00AC648E">
      <w:pPr>
        <w:numPr>
          <w:ilvl w:val="0"/>
          <w:numId w:val="10"/>
        </w:numPr>
        <w:suppressAutoHyphens w:val="0"/>
        <w:spacing w:before="120" w:after="120" w:line="360" w:lineRule="auto"/>
        <w:contextualSpacing/>
        <w:jc w:val="both"/>
      </w:pPr>
      <w:r>
        <w:t>Monitorowanie ciśnienia: zintegrowany system kontroli ciśnienia, wykres ciśnienia w czasie rzeczywistym,</w:t>
      </w:r>
    </w:p>
    <w:p w:rsidR="00AC648E" w:rsidRDefault="00AC648E" w:rsidP="00AC648E">
      <w:pPr>
        <w:numPr>
          <w:ilvl w:val="0"/>
          <w:numId w:val="10"/>
        </w:numPr>
        <w:suppressAutoHyphens w:val="0"/>
        <w:spacing w:line="360" w:lineRule="auto"/>
        <w:contextualSpacing/>
        <w:jc w:val="both"/>
      </w:pPr>
      <w:r>
        <w:t>Możliwość definiowania objętości zainstalowanych opakowań z środkiem kontrastowym i NaCl.</w:t>
      </w:r>
    </w:p>
    <w:p w:rsidR="00AC648E" w:rsidRDefault="00AC648E" w:rsidP="00AC648E">
      <w:pPr>
        <w:spacing w:before="120" w:after="240" w:line="276" w:lineRule="auto"/>
        <w:rPr>
          <w:rFonts w:eastAsia="Calibri"/>
          <w:b/>
        </w:rPr>
      </w:pPr>
      <w:r>
        <w:rPr>
          <w:rFonts w:eastAsia="Calibri"/>
          <w:b/>
        </w:rPr>
        <w:t>Pytanie nr 6:</w:t>
      </w:r>
    </w:p>
    <w:p w:rsidR="00AC648E" w:rsidRDefault="00AC648E" w:rsidP="00AC648E">
      <w:pPr>
        <w:rPr>
          <w:rFonts w:eastAsiaTheme="minorHAnsi"/>
          <w:b/>
        </w:rPr>
      </w:pPr>
      <w:r>
        <w:rPr>
          <w:b/>
        </w:rPr>
        <w:lastRenderedPageBreak/>
        <w:t>Zalacznik-Nr-1---Oferta-Techniczna</w:t>
      </w:r>
    </w:p>
    <w:p w:rsidR="00AC648E" w:rsidRDefault="00AC648E" w:rsidP="00AC648E">
      <w:pPr>
        <w:rPr>
          <w:b/>
        </w:rPr>
      </w:pPr>
      <w:r>
        <w:rPr>
          <w:b/>
        </w:rPr>
        <w:t>REZONANS MAGNETYCZNY  DO DIAGNOSTYKI ORAZ WSPARCIA PROCESU PLANOWANIA RADIOTERAPII</w:t>
      </w:r>
    </w:p>
    <w:p w:rsidR="00AC648E" w:rsidRDefault="00AC648E" w:rsidP="00AC648E">
      <w:pPr>
        <w:rPr>
          <w:b/>
        </w:rPr>
      </w:pPr>
      <w:r>
        <w:rPr>
          <w:b/>
        </w:rPr>
        <w:t>Punkt 226.</w:t>
      </w:r>
    </w:p>
    <w:p w:rsidR="00AC648E" w:rsidRDefault="00AC648E" w:rsidP="00AC648E">
      <w:pPr>
        <w:spacing w:line="360" w:lineRule="auto"/>
        <w:contextualSpacing/>
        <w:jc w:val="both"/>
        <w:rPr>
          <w:b/>
          <w:u w:val="single"/>
        </w:rPr>
      </w:pPr>
      <w:r>
        <w:t xml:space="preserve">Czy Zamawiający mógłby wyjaśnić zapis „Dwugłowicowy </w:t>
      </w:r>
      <w:proofErr w:type="spellStart"/>
      <w:r>
        <w:t>wstrzykiwacz</w:t>
      </w:r>
      <w:proofErr w:type="spellEnd"/>
      <w:r>
        <w:t xml:space="preserve"> środka kontrastowego przystosowany do pracy z aparatem MR o indukcji pola magnetycznego 3T, </w:t>
      </w:r>
      <w:r>
        <w:rPr>
          <w:b/>
          <w:u w:val="single"/>
        </w:rPr>
        <w:t xml:space="preserve">dostosowany do realizacji </w:t>
      </w:r>
    </w:p>
    <w:p w:rsidR="00AC648E" w:rsidRDefault="00AC648E" w:rsidP="00AC648E">
      <w:pPr>
        <w:spacing w:line="360" w:lineRule="auto"/>
        <w:contextualSpacing/>
        <w:jc w:val="both"/>
      </w:pPr>
      <w:r>
        <w:rPr>
          <w:b/>
          <w:u w:val="single"/>
        </w:rPr>
        <w:t>badań opisanych w pkt. VI.44-47</w:t>
      </w:r>
      <w:r>
        <w:t>”? W Załączniku Nr 1 – Oferta Techniczna punkt VI stanowią ALARMY, których numeracja zaczyna się od punktu 61, nie ma tu więc punktów 44-47, które stanowiłyby specyfikację badań opisowych. Prosimy o uszczegółowienie ww. badań opisowych.</w:t>
      </w:r>
    </w:p>
    <w:p w:rsidR="00AC648E" w:rsidRDefault="00AC648E" w:rsidP="00AC648E">
      <w:pPr>
        <w:spacing w:line="360" w:lineRule="auto"/>
        <w:contextualSpacing/>
        <w:jc w:val="both"/>
        <w:rPr>
          <w:sz w:val="6"/>
          <w:szCs w:val="6"/>
        </w:rPr>
      </w:pPr>
    </w:p>
    <w:p w:rsidR="00AC648E" w:rsidRDefault="00AC648E" w:rsidP="00AC648E">
      <w:pPr>
        <w:spacing w:before="120" w:after="240" w:line="276" w:lineRule="auto"/>
        <w:rPr>
          <w:rFonts w:eastAsia="Calibri"/>
          <w:b/>
          <w:sz w:val="22"/>
          <w:szCs w:val="22"/>
        </w:rPr>
      </w:pPr>
      <w:r>
        <w:rPr>
          <w:rFonts w:eastAsia="Calibri"/>
          <w:b/>
        </w:rPr>
        <w:t>Pytanie nr 7:</w:t>
      </w:r>
    </w:p>
    <w:p w:rsidR="00AC648E" w:rsidRDefault="00AC648E" w:rsidP="00AC648E">
      <w:pPr>
        <w:rPr>
          <w:rFonts w:eastAsiaTheme="minorHAnsi"/>
          <w:b/>
        </w:rPr>
      </w:pPr>
      <w:r>
        <w:rPr>
          <w:b/>
        </w:rPr>
        <w:t>Zalacznik-Nr-1---Oferta-Techniczna</w:t>
      </w:r>
    </w:p>
    <w:p w:rsidR="00AC648E" w:rsidRDefault="00AC648E" w:rsidP="00AC648E">
      <w:pPr>
        <w:spacing w:before="120" w:after="240" w:line="276" w:lineRule="auto"/>
        <w:rPr>
          <w:rFonts w:eastAsia="Calibri"/>
          <w:b/>
        </w:rPr>
      </w:pPr>
      <w:r>
        <w:rPr>
          <w:rFonts w:eastAsia="Calibri"/>
          <w:b/>
        </w:rPr>
        <w:t>SKANER PET/CT</w:t>
      </w:r>
    </w:p>
    <w:p w:rsidR="00AC648E" w:rsidRDefault="00AC648E" w:rsidP="00AC648E">
      <w:pPr>
        <w:spacing w:before="120" w:after="240" w:line="276" w:lineRule="auto"/>
        <w:rPr>
          <w:rFonts w:eastAsia="Calibri"/>
          <w:b/>
        </w:rPr>
      </w:pPr>
      <w:r>
        <w:rPr>
          <w:rFonts w:eastAsia="Calibri"/>
          <w:b/>
        </w:rPr>
        <w:t>132. WYPOSAŻENIE SKANERA PET/CT niezbędne do jego właściwego stosowania</w:t>
      </w:r>
    </w:p>
    <w:p w:rsidR="00AC648E" w:rsidRDefault="00AC648E" w:rsidP="00AC648E">
      <w:pPr>
        <w:spacing w:before="120" w:after="240" w:line="276" w:lineRule="auto"/>
        <w:rPr>
          <w:rFonts w:eastAsia="Calibri"/>
          <w:b/>
        </w:rPr>
      </w:pPr>
      <w:r>
        <w:rPr>
          <w:rFonts w:eastAsia="Calibri"/>
          <w:b/>
        </w:rPr>
        <w:t xml:space="preserve">Punkt 133 </w:t>
      </w:r>
    </w:p>
    <w:p w:rsidR="00AC648E" w:rsidRDefault="00AC648E" w:rsidP="00AC648E">
      <w:pPr>
        <w:spacing w:line="312" w:lineRule="auto"/>
        <w:jc w:val="both"/>
        <w:rPr>
          <w:rFonts w:eastAsiaTheme="minorHAnsi"/>
        </w:rPr>
      </w:pPr>
      <w:r>
        <w:t xml:space="preserve">Prosimy o dopuszczenie do postępowania 3 kanałowego </w:t>
      </w:r>
      <w:proofErr w:type="spellStart"/>
      <w:r>
        <w:t>bezwkładowego</w:t>
      </w:r>
      <w:proofErr w:type="spellEnd"/>
      <w:r>
        <w:t xml:space="preserve"> </w:t>
      </w:r>
      <w:proofErr w:type="spellStart"/>
      <w:r>
        <w:t>wstrzykiwacza</w:t>
      </w:r>
      <w:proofErr w:type="spellEnd"/>
      <w:r>
        <w:t xml:space="preserve"> kontrastu do diagnostyki CT. Główną zaletą </w:t>
      </w:r>
      <w:proofErr w:type="spellStart"/>
      <w:r>
        <w:t>wstrzykiwacza</w:t>
      </w:r>
      <w:proofErr w:type="spellEnd"/>
      <w:r>
        <w:t xml:space="preserve"> jest:</w:t>
      </w:r>
    </w:p>
    <w:p w:rsidR="00AC648E" w:rsidRDefault="00AC648E" w:rsidP="00AC648E">
      <w:pPr>
        <w:spacing w:line="312" w:lineRule="auto"/>
        <w:jc w:val="both"/>
      </w:pPr>
      <w:r>
        <w:t xml:space="preserve">Technologia CA </w:t>
      </w:r>
      <w:proofErr w:type="spellStart"/>
      <w:r>
        <w:t>exspress</w:t>
      </w:r>
      <w:proofErr w:type="spellEnd"/>
      <w:r>
        <w:t>: wstrzykiwanie bezpośrednio ze wszystkich dostępnych na rynku pojemników środka kontrastowego.</w:t>
      </w:r>
    </w:p>
    <w:p w:rsidR="00AC648E" w:rsidRDefault="00AC648E" w:rsidP="00AC648E">
      <w:pPr>
        <w:spacing w:line="312" w:lineRule="auto"/>
        <w:jc w:val="both"/>
      </w:pPr>
      <w:r>
        <w:t xml:space="preserve">Eksploatacja </w:t>
      </w:r>
      <w:proofErr w:type="spellStart"/>
      <w:r>
        <w:t>wstrzykiwacza</w:t>
      </w:r>
      <w:proofErr w:type="spellEnd"/>
      <w:r>
        <w:t xml:space="preserve"> jest prowadzona z wykorzystaniem wyłącznie materiałów eksploatacyjnych NIE zawierających związków DEHP (</w:t>
      </w:r>
      <w:proofErr w:type="spellStart"/>
      <w:r>
        <w:t>ftalany</w:t>
      </w:r>
      <w:proofErr w:type="spellEnd"/>
      <w:r>
        <w:t xml:space="preserve"> </w:t>
      </w:r>
      <w:proofErr w:type="spellStart"/>
      <w:r>
        <w:t>dietyloheksylu</w:t>
      </w:r>
      <w:proofErr w:type="spellEnd"/>
      <w:r>
        <w:t>).</w:t>
      </w:r>
    </w:p>
    <w:p w:rsidR="00AC648E" w:rsidRDefault="00AC648E" w:rsidP="00AC648E">
      <w:pPr>
        <w:spacing w:line="312" w:lineRule="auto"/>
        <w:jc w:val="both"/>
      </w:pPr>
      <w:r>
        <w:t>Wężyki 24 godzinne umożliwiające wykonanie dowolnej ilości iniekcji.</w:t>
      </w:r>
    </w:p>
    <w:p w:rsidR="00AC648E" w:rsidRDefault="00AC648E" w:rsidP="00AC648E">
      <w:pPr>
        <w:spacing w:line="312" w:lineRule="auto"/>
        <w:jc w:val="both"/>
      </w:pPr>
      <w:r>
        <w:t>Oszczędność środka kontrastowego w wyniku wstępnego i wtórnego wypełnienia NaCl systemu wężyków,</w:t>
      </w:r>
    </w:p>
    <w:p w:rsidR="00AC648E" w:rsidRDefault="00AC648E" w:rsidP="00AC648E">
      <w:pPr>
        <w:pStyle w:val="Akapitzlist"/>
        <w:spacing w:after="0" w:line="312" w:lineRule="auto"/>
        <w:ind w:left="0"/>
        <w:jc w:val="both"/>
        <w:rPr>
          <w:rFonts w:ascii="Times New Roman" w:hAnsi="Times New Roman" w:cs="Times New Roman"/>
        </w:rPr>
      </w:pPr>
      <w:r>
        <w:rPr>
          <w:rFonts w:ascii="Times New Roman" w:hAnsi="Times New Roman" w:cs="Times New Roman"/>
        </w:rPr>
        <w:t xml:space="preserve">Dane techniczne </w:t>
      </w:r>
      <w:proofErr w:type="spellStart"/>
      <w:r>
        <w:rPr>
          <w:rFonts w:ascii="Times New Roman" w:hAnsi="Times New Roman" w:cs="Times New Roman"/>
        </w:rPr>
        <w:t>wstrzykiwacza</w:t>
      </w:r>
      <w:proofErr w:type="spellEnd"/>
      <w:r>
        <w:rPr>
          <w:rFonts w:ascii="Times New Roman" w:hAnsi="Times New Roman" w:cs="Times New Roman"/>
        </w:rPr>
        <w:t>:</w:t>
      </w:r>
    </w:p>
    <w:p w:rsidR="00AC648E" w:rsidRDefault="00AC648E" w:rsidP="00AC648E">
      <w:pPr>
        <w:pStyle w:val="Akapitzlist"/>
        <w:numPr>
          <w:ilvl w:val="0"/>
          <w:numId w:val="9"/>
        </w:numPr>
        <w:spacing w:after="0" w:line="312" w:lineRule="auto"/>
        <w:jc w:val="both"/>
        <w:rPr>
          <w:rFonts w:ascii="Times New Roman" w:hAnsi="Times New Roman" w:cs="Times New Roman"/>
        </w:rPr>
      </w:pPr>
      <w:r>
        <w:rPr>
          <w:rFonts w:ascii="Times New Roman" w:hAnsi="Times New Roman" w:cs="Times New Roman"/>
        </w:rPr>
        <w:t>Rodzaj zasilania: bateryjne + sieciowe 230V,</w:t>
      </w:r>
    </w:p>
    <w:p w:rsidR="00AC648E" w:rsidRDefault="00AC648E" w:rsidP="00AC648E">
      <w:pPr>
        <w:pStyle w:val="Akapitzlist"/>
        <w:numPr>
          <w:ilvl w:val="0"/>
          <w:numId w:val="9"/>
        </w:numPr>
        <w:spacing w:after="0" w:line="312" w:lineRule="auto"/>
        <w:jc w:val="both"/>
        <w:rPr>
          <w:rFonts w:ascii="Times New Roman" w:hAnsi="Times New Roman" w:cs="Times New Roman"/>
        </w:rPr>
      </w:pPr>
      <w:r>
        <w:rPr>
          <w:rFonts w:ascii="Times New Roman" w:hAnsi="Times New Roman" w:cs="Times New Roman"/>
        </w:rPr>
        <w:t>Strzykawka na konstrukcji jezdnej z blokadą kół,</w:t>
      </w:r>
    </w:p>
    <w:p w:rsidR="00AC648E" w:rsidRDefault="00AC648E" w:rsidP="00AC648E">
      <w:pPr>
        <w:pStyle w:val="Akapitzlist"/>
        <w:numPr>
          <w:ilvl w:val="0"/>
          <w:numId w:val="9"/>
        </w:numPr>
        <w:spacing w:after="0" w:line="312" w:lineRule="auto"/>
        <w:jc w:val="both"/>
        <w:rPr>
          <w:rFonts w:ascii="Times New Roman" w:hAnsi="Times New Roman" w:cs="Times New Roman"/>
        </w:rPr>
      </w:pPr>
      <w:r>
        <w:rPr>
          <w:rFonts w:ascii="Times New Roman" w:hAnsi="Times New Roman" w:cs="Times New Roman"/>
        </w:rPr>
        <w:t xml:space="preserve">Sposób połączenia </w:t>
      </w:r>
      <w:proofErr w:type="spellStart"/>
      <w:r>
        <w:rPr>
          <w:rFonts w:ascii="Times New Roman" w:hAnsi="Times New Roman" w:cs="Times New Roman"/>
        </w:rPr>
        <w:t>wstrzykiwacza</w:t>
      </w:r>
      <w:proofErr w:type="spellEnd"/>
      <w:r>
        <w:rPr>
          <w:rFonts w:ascii="Times New Roman" w:hAnsi="Times New Roman" w:cs="Times New Roman"/>
        </w:rPr>
        <w:t xml:space="preserve"> z konsolą sterującą: bezprzewodowo (technologia </w:t>
      </w:r>
      <w:proofErr w:type="spellStart"/>
      <w:r>
        <w:rPr>
          <w:rFonts w:ascii="Times New Roman" w:hAnsi="Times New Roman" w:cs="Times New Roman"/>
        </w:rPr>
        <w:t>bluetooth</w:t>
      </w:r>
      <w:proofErr w:type="spellEnd"/>
      <w:r>
        <w:rPr>
          <w:rFonts w:ascii="Times New Roman" w:hAnsi="Times New Roman" w:cs="Times New Roman"/>
        </w:rPr>
        <w:t>),</w:t>
      </w:r>
    </w:p>
    <w:p w:rsidR="00AC648E" w:rsidRDefault="00AC648E" w:rsidP="00AC648E">
      <w:pPr>
        <w:pStyle w:val="Akapitzlist"/>
        <w:numPr>
          <w:ilvl w:val="0"/>
          <w:numId w:val="9"/>
        </w:numPr>
        <w:spacing w:after="0" w:line="312" w:lineRule="auto"/>
        <w:jc w:val="both"/>
        <w:rPr>
          <w:rFonts w:ascii="Times New Roman" w:hAnsi="Times New Roman" w:cs="Times New Roman"/>
        </w:rPr>
      </w:pPr>
      <w:r>
        <w:rPr>
          <w:rFonts w:ascii="Times New Roman" w:hAnsi="Times New Roman" w:cs="Times New Roman"/>
        </w:rPr>
        <w:t>Aktywne podgrzewanie zainstalowanych pojemników z kontrastem,</w:t>
      </w:r>
    </w:p>
    <w:p w:rsidR="00AC648E" w:rsidRDefault="00AC648E" w:rsidP="00AC648E">
      <w:pPr>
        <w:pStyle w:val="Akapitzlist"/>
        <w:numPr>
          <w:ilvl w:val="0"/>
          <w:numId w:val="9"/>
        </w:numPr>
        <w:spacing w:after="0" w:line="312" w:lineRule="auto"/>
        <w:jc w:val="both"/>
        <w:rPr>
          <w:rFonts w:ascii="Times New Roman" w:hAnsi="Times New Roman" w:cs="Times New Roman"/>
        </w:rPr>
      </w:pPr>
      <w:r>
        <w:rPr>
          <w:rFonts w:ascii="Times New Roman" w:hAnsi="Times New Roman" w:cs="Times New Roman"/>
        </w:rPr>
        <w:t>Pamięć 100 programów (maksymalnie 40 faz w jednym protokole), które można łatwo zapisać na nośniku USB i ponownie odtworzyć,</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Szybkość przepływu (ze środkiem kontrastowym): 0.1-10.0 ml/s, krokowo 0.1 ml/s,</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Maksymalna objętość płynów gotowa do podania: 400 ml/1 pacjenta, krokowo 1.0 ml,</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 xml:space="preserve">Możliwość stosowania dwóch butelek z kontrastem każdego z dostępnych producentów środków kontrastowych w pojemności od 50 do 500ml, </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Możliwość zastosowania butelki lub worka z roztworem soli fizjologicznej w objętości do 1000ml,</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Praca z funkcją automatycznego przełączania się pomiędzy butelkami dla takiego samego kontrastu,</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Praca z funkcją manualnego wyboru kontrastu przy zastosowaniu dwóch różnych środków kontrastowych,</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lastRenderedPageBreak/>
        <w:t>Funkcja pozwalająca na naprzemienne podawanie bardzo małych ilości soli i kontrastu. Możliwość wyboru „mieszania” w różnym stopniu procentowym min.: 14%, 20%, 25%, 33%, 50%,</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Monitorowanie ciśnienia: 2 czujniki piezoelektryczne, wykres ciśnienia w czasie rzeczywistym,</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5 detektorów szybko i niezawodnie wykrywają powietrze w systemie,</w:t>
      </w:r>
    </w:p>
    <w:p w:rsidR="00AC648E" w:rsidRDefault="00AC648E" w:rsidP="00AC648E">
      <w:pPr>
        <w:pStyle w:val="Akapitzlist"/>
        <w:numPr>
          <w:ilvl w:val="0"/>
          <w:numId w:val="10"/>
        </w:numPr>
        <w:spacing w:after="0" w:line="312" w:lineRule="auto"/>
        <w:jc w:val="both"/>
        <w:rPr>
          <w:rFonts w:ascii="Times New Roman" w:hAnsi="Times New Roman" w:cs="Times New Roman"/>
        </w:rPr>
      </w:pPr>
      <w:r>
        <w:rPr>
          <w:rFonts w:ascii="Times New Roman" w:hAnsi="Times New Roman" w:cs="Times New Roman"/>
        </w:rPr>
        <w:t>Zamknięty obieg płynów,</w:t>
      </w:r>
    </w:p>
    <w:p w:rsidR="00AC648E" w:rsidRDefault="00AC648E" w:rsidP="00AC648E">
      <w:pPr>
        <w:pStyle w:val="Akapitzlist"/>
        <w:numPr>
          <w:ilvl w:val="0"/>
          <w:numId w:val="10"/>
        </w:numPr>
        <w:spacing w:after="0" w:line="312" w:lineRule="auto"/>
        <w:jc w:val="both"/>
        <w:rPr>
          <w:rFonts w:ascii="Times New Roman" w:hAnsi="Times New Roman" w:cs="Times New Roman"/>
        </w:rPr>
      </w:pPr>
      <w:proofErr w:type="spellStart"/>
      <w:r>
        <w:rPr>
          <w:rFonts w:ascii="Times New Roman" w:hAnsi="Times New Roman" w:cs="Times New Roman"/>
        </w:rPr>
        <w:t>Wstrzykiwacz</w:t>
      </w:r>
      <w:proofErr w:type="spellEnd"/>
      <w:r>
        <w:rPr>
          <w:rFonts w:ascii="Times New Roman" w:hAnsi="Times New Roman" w:cs="Times New Roman"/>
        </w:rPr>
        <w:t xml:space="preserve"> jest wyposażony w jeden kolorowy dotykowy panel sterujący umieszczony w sterowni tomografu oraz drugi panel umieszczony na </w:t>
      </w:r>
      <w:proofErr w:type="spellStart"/>
      <w:r>
        <w:rPr>
          <w:rFonts w:ascii="Times New Roman" w:hAnsi="Times New Roman" w:cs="Times New Roman"/>
        </w:rPr>
        <w:t>wstrzykiwaczu</w:t>
      </w:r>
      <w:proofErr w:type="spellEnd"/>
      <w:r>
        <w:rPr>
          <w:rFonts w:ascii="Times New Roman" w:hAnsi="Times New Roman" w:cs="Times New Roman"/>
        </w:rPr>
        <w:t xml:space="preserve"> kontrastu, z którego można wystartować jak i zatrzymać awaryjnie iniekcję oraz przeprowadzić iniekcję próbną. Panel ten również wyświetla parametry zadanej iniekcji i ciśnienie w systemie wężyków podczas podawania kontrastu. </w:t>
      </w:r>
      <w:proofErr w:type="spellStart"/>
      <w:r>
        <w:rPr>
          <w:rFonts w:ascii="Times New Roman" w:hAnsi="Times New Roman" w:cs="Times New Roman"/>
        </w:rPr>
        <w:t>Wstrzykiwacz</w:t>
      </w:r>
      <w:proofErr w:type="spellEnd"/>
      <w:r>
        <w:rPr>
          <w:rFonts w:ascii="Times New Roman" w:hAnsi="Times New Roman" w:cs="Times New Roman"/>
        </w:rPr>
        <w:t xml:space="preserve"> wyposażony jest w interfejs obsługi w języku polskim,</w:t>
      </w:r>
    </w:p>
    <w:p w:rsidR="00AC648E" w:rsidRDefault="00AC648E" w:rsidP="00AC648E">
      <w:pPr>
        <w:spacing w:line="360" w:lineRule="auto"/>
        <w:jc w:val="both"/>
        <w:rPr>
          <w:bCs/>
        </w:rPr>
      </w:pPr>
      <w:r>
        <w:rPr>
          <w:bCs/>
        </w:rPr>
        <w:t>Prosimy o pozytywne rozpatrzenie naszej prośby.</w:t>
      </w:r>
    </w:p>
    <w:p w:rsidR="00AC648E" w:rsidRDefault="00AC648E" w:rsidP="00843755">
      <w:pPr>
        <w:spacing w:before="120"/>
        <w:rPr>
          <w:rFonts w:eastAsia="Calibri"/>
          <w:b/>
        </w:rPr>
      </w:pPr>
      <w:r>
        <w:rPr>
          <w:rFonts w:eastAsia="Calibri"/>
          <w:b/>
        </w:rPr>
        <w:t>Pytanie nr 8:</w:t>
      </w:r>
    </w:p>
    <w:p w:rsidR="00AC648E" w:rsidRDefault="00AC648E" w:rsidP="00843755">
      <w:pPr>
        <w:rPr>
          <w:rFonts w:eastAsiaTheme="minorHAnsi"/>
          <w:b/>
        </w:rPr>
      </w:pPr>
      <w:r>
        <w:rPr>
          <w:b/>
        </w:rPr>
        <w:t>Zalacznik-Nr-1---Oferta-Techniczna</w:t>
      </w:r>
    </w:p>
    <w:p w:rsidR="00AC648E" w:rsidRDefault="00AC648E" w:rsidP="00843755">
      <w:pPr>
        <w:spacing w:before="120"/>
        <w:rPr>
          <w:rFonts w:eastAsia="Calibri"/>
          <w:b/>
        </w:rPr>
      </w:pPr>
      <w:r>
        <w:rPr>
          <w:rFonts w:eastAsia="Calibri"/>
          <w:b/>
        </w:rPr>
        <w:t>SKANER PET/CT</w:t>
      </w:r>
    </w:p>
    <w:p w:rsidR="00AC648E" w:rsidRDefault="00AC648E" w:rsidP="00AC648E">
      <w:pPr>
        <w:spacing w:before="120" w:after="240" w:line="276" w:lineRule="auto"/>
        <w:rPr>
          <w:rFonts w:eastAsia="Calibri"/>
          <w:b/>
        </w:rPr>
      </w:pPr>
      <w:r>
        <w:rPr>
          <w:rFonts w:eastAsia="Calibri"/>
          <w:b/>
        </w:rPr>
        <w:t>132. WYPOSAŻENIE SKANERA PET/CT niezbędne do jego właściwego stosowania</w:t>
      </w:r>
    </w:p>
    <w:p w:rsidR="00AC648E" w:rsidRDefault="00AC648E" w:rsidP="00843755">
      <w:pPr>
        <w:spacing w:before="120" w:line="276" w:lineRule="auto"/>
        <w:rPr>
          <w:rFonts w:eastAsia="Calibri"/>
          <w:b/>
        </w:rPr>
      </w:pPr>
      <w:r>
        <w:rPr>
          <w:rFonts w:eastAsia="Calibri"/>
          <w:b/>
        </w:rPr>
        <w:t>Punkt 139</w:t>
      </w:r>
    </w:p>
    <w:p w:rsidR="00AC648E" w:rsidRDefault="00AC648E" w:rsidP="00843755">
      <w:pPr>
        <w:spacing w:line="312" w:lineRule="auto"/>
        <w:jc w:val="both"/>
        <w:rPr>
          <w:rFonts w:eastAsiaTheme="minorHAnsi"/>
        </w:rPr>
      </w:pPr>
      <w:r>
        <w:t xml:space="preserve">Prosimy o dopuszczenie do postępowania 3 kanałowego </w:t>
      </w:r>
      <w:proofErr w:type="spellStart"/>
      <w:r>
        <w:t>bezwkładowego</w:t>
      </w:r>
      <w:proofErr w:type="spellEnd"/>
      <w:r>
        <w:t xml:space="preserve"> </w:t>
      </w:r>
      <w:proofErr w:type="spellStart"/>
      <w:r>
        <w:t>wstrzykiwacza</w:t>
      </w:r>
      <w:proofErr w:type="spellEnd"/>
      <w:r>
        <w:t xml:space="preserve"> kontrastu do diagnostyki CT. W zaoferowanym </w:t>
      </w:r>
      <w:proofErr w:type="spellStart"/>
      <w:r>
        <w:t>wstrzykiwaczu</w:t>
      </w:r>
      <w:proofErr w:type="spellEnd"/>
      <w:r>
        <w:t xml:space="preserve"> nie występują naboje/wkłady ze środkiem kontrastowym. Eksploatacja </w:t>
      </w:r>
      <w:proofErr w:type="spellStart"/>
      <w:r>
        <w:t>wstrzykiwacza</w:t>
      </w:r>
      <w:proofErr w:type="spellEnd"/>
      <w:r>
        <w:t xml:space="preserve"> jest prowadzona z wykorzystaniem 24 godzinnego wężyka pompy oraz jednorazowych drenów pacjenta.</w:t>
      </w:r>
    </w:p>
    <w:p w:rsidR="00AC648E" w:rsidRDefault="00AC648E" w:rsidP="00AC648E">
      <w:pPr>
        <w:spacing w:line="312" w:lineRule="auto"/>
        <w:jc w:val="both"/>
      </w:pPr>
      <w:r>
        <w:t xml:space="preserve">Wraz ze </w:t>
      </w:r>
      <w:proofErr w:type="spellStart"/>
      <w:r>
        <w:t>wstrzykiaczem</w:t>
      </w:r>
      <w:proofErr w:type="spellEnd"/>
      <w:r>
        <w:t xml:space="preserve"> zostanie dostarczony zestaw materiałów jednorazowych potrzebnych do wykonania 30 badań.   </w:t>
      </w:r>
    </w:p>
    <w:p w:rsidR="00AC648E" w:rsidRDefault="00AC648E" w:rsidP="00AC648E">
      <w:pPr>
        <w:spacing w:before="120" w:after="240" w:line="276" w:lineRule="auto"/>
        <w:rPr>
          <w:rFonts w:eastAsia="Calibri"/>
          <w:b/>
        </w:rPr>
      </w:pPr>
      <w:r>
        <w:rPr>
          <w:rFonts w:eastAsia="Calibri"/>
          <w:b/>
        </w:rPr>
        <w:t>Pytanie nr 9:</w:t>
      </w:r>
    </w:p>
    <w:p w:rsidR="00AC648E" w:rsidRDefault="00AC648E" w:rsidP="00AC648E">
      <w:pPr>
        <w:rPr>
          <w:rFonts w:eastAsiaTheme="minorHAnsi"/>
          <w:b/>
        </w:rPr>
      </w:pPr>
      <w:r>
        <w:rPr>
          <w:b/>
        </w:rPr>
        <w:t>Zalacznik-Nr-1---Oferta-Techniczna</w:t>
      </w:r>
    </w:p>
    <w:p w:rsidR="00AC648E" w:rsidRDefault="00AC648E" w:rsidP="00AC648E">
      <w:pPr>
        <w:spacing w:before="120" w:after="240" w:line="276" w:lineRule="auto"/>
        <w:rPr>
          <w:rFonts w:eastAsia="Calibri"/>
          <w:b/>
        </w:rPr>
      </w:pPr>
      <w:r>
        <w:rPr>
          <w:rFonts w:eastAsia="Calibri"/>
          <w:b/>
        </w:rPr>
        <w:t>SKANER PET/CT</w:t>
      </w:r>
    </w:p>
    <w:p w:rsidR="00AC648E" w:rsidRDefault="00AC648E" w:rsidP="00AC648E">
      <w:pPr>
        <w:spacing w:before="120" w:after="240" w:line="276" w:lineRule="auto"/>
        <w:rPr>
          <w:rFonts w:eastAsia="Calibri"/>
          <w:b/>
        </w:rPr>
      </w:pPr>
      <w:r>
        <w:rPr>
          <w:rFonts w:eastAsia="Calibri"/>
          <w:b/>
        </w:rPr>
        <w:t>132. WYPOSAŻENIE SKANERA PET/CT niezbędne do jego właściwego stosowania</w:t>
      </w:r>
    </w:p>
    <w:p w:rsidR="00AC648E" w:rsidRDefault="00AC648E" w:rsidP="00AC648E">
      <w:pPr>
        <w:spacing w:before="120" w:after="240" w:line="276" w:lineRule="auto"/>
        <w:rPr>
          <w:rFonts w:eastAsia="Calibri"/>
          <w:b/>
        </w:rPr>
      </w:pPr>
      <w:r>
        <w:rPr>
          <w:rFonts w:eastAsia="Calibri"/>
          <w:b/>
        </w:rPr>
        <w:t>Punkt 133.</w:t>
      </w:r>
    </w:p>
    <w:p w:rsidR="00AC648E" w:rsidRDefault="00AC648E" w:rsidP="00AC648E">
      <w:pPr>
        <w:tabs>
          <w:tab w:val="left" w:pos="7830"/>
        </w:tabs>
        <w:spacing w:line="312" w:lineRule="auto"/>
        <w:jc w:val="both"/>
        <w:rPr>
          <w:rFonts w:eastAsiaTheme="minorHAnsi"/>
        </w:rPr>
      </w:pPr>
      <w:r>
        <w:t xml:space="preserve">Mając na uwadze komfort obsługi urządzenia oraz aspekt ekonomiczny, zwracamy się z pytaniem: czy Zamawiający będzie wymagał, aby dostarczony </w:t>
      </w:r>
      <w:proofErr w:type="spellStart"/>
      <w:r>
        <w:t>wstrzykiwacz</w:t>
      </w:r>
      <w:proofErr w:type="spellEnd"/>
      <w:r>
        <w:t xml:space="preserve"> posiadał interfejs w języku polskim, a główne materiały eksploatacyjne przeznaczone były do używania przez 24h niezależnie od ilości wykonanych iniekcji czy zużytego środka kontrastującego? Znacząco zwiększa to przejrzystość obsługi, a zarazem przyspiesza pracę i zmniejsza ryzyko błędu, czyniąc obsługę łatwą i bezpieczną.</w:t>
      </w:r>
    </w:p>
    <w:p w:rsidR="00AC648E" w:rsidRDefault="00AC648E">
      <w:pPr>
        <w:rPr>
          <w:rFonts w:ascii="Arial" w:hAnsi="Arial" w:cs="Arial"/>
          <w:b/>
        </w:rPr>
      </w:pPr>
    </w:p>
    <w:p w:rsidR="00843755" w:rsidRPr="00843755" w:rsidRDefault="00843755">
      <w:pPr>
        <w:rPr>
          <w:rFonts w:ascii="Arial" w:hAnsi="Arial" w:cs="Arial"/>
          <w:b/>
          <w:u w:val="single"/>
        </w:rPr>
      </w:pPr>
      <w:r w:rsidRPr="00843755">
        <w:rPr>
          <w:rFonts w:ascii="Arial" w:hAnsi="Arial" w:cs="Arial"/>
          <w:b/>
          <w:u w:val="single"/>
        </w:rPr>
        <w:t>Zapytania nr 5 z dnia 11.06.2018</w:t>
      </w:r>
    </w:p>
    <w:p w:rsidR="00843755" w:rsidRDefault="00843755">
      <w:pPr>
        <w:rPr>
          <w:rFonts w:ascii="Arial" w:hAnsi="Arial" w:cs="Arial"/>
          <w:b/>
        </w:rPr>
      </w:pPr>
    </w:p>
    <w:p w:rsidR="00843755" w:rsidRDefault="00843755" w:rsidP="00843755">
      <w:pPr>
        <w:numPr>
          <w:ilvl w:val="0"/>
          <w:numId w:val="12"/>
        </w:numPr>
        <w:suppressAutoHyphens w:val="0"/>
        <w:spacing w:line="280" w:lineRule="exact"/>
        <w:jc w:val="both"/>
        <w:rPr>
          <w:b/>
        </w:rPr>
      </w:pPr>
      <w:r>
        <w:rPr>
          <w:b/>
        </w:rPr>
        <w:t>Dotyczy załącznika nr 1 do SIWZ, w części CT, pkt 13 tabeli opisu tomografu komputerowego dedykowanego do planowania radioterapii (symulator TK).</w:t>
      </w:r>
    </w:p>
    <w:p w:rsidR="00843755" w:rsidRDefault="00843755" w:rsidP="00843755">
      <w:pPr>
        <w:jc w:val="both"/>
      </w:pPr>
      <w:r>
        <w:lastRenderedPageBreak/>
        <w:t xml:space="preserve">Niniejszy zapis uniemożliwia złożenie nam oferty z jakimkolwiek z tomografów przeznaczonych do radioterapii. Dlatego też prosimy o dopuszczenie płaskich blatów do radioterapii w formie specjalizowanej nakładki z możliwością szybkiego jej zdejmowania. Tego typu nakładki są powszechnie stosowane i dedykowane przez producentów akceleratorów.  Pozytywna odpowiedź pozwoli nam na złożenie ważnej oferty. </w:t>
      </w:r>
    </w:p>
    <w:p w:rsidR="00843755" w:rsidRDefault="00843755" w:rsidP="00843755">
      <w:pPr>
        <w:jc w:val="both"/>
        <w:rPr>
          <w:b/>
        </w:rPr>
      </w:pPr>
    </w:p>
    <w:p w:rsidR="00843755" w:rsidRDefault="00843755" w:rsidP="00843755">
      <w:pPr>
        <w:numPr>
          <w:ilvl w:val="0"/>
          <w:numId w:val="12"/>
        </w:numPr>
        <w:suppressAutoHyphens w:val="0"/>
        <w:spacing w:line="280" w:lineRule="exact"/>
        <w:jc w:val="both"/>
        <w:rPr>
          <w:b/>
        </w:rPr>
      </w:pPr>
      <w:r>
        <w:rPr>
          <w:b/>
        </w:rPr>
        <w:t>Dotyczy załącznika nr 1 do SIWZ, w części CT, pkt 4 tabeli opisu tomografu komputerowego dedykowanego do planowania radioterapii (symulator TK).</w:t>
      </w:r>
    </w:p>
    <w:p w:rsidR="00843755" w:rsidRDefault="00843755" w:rsidP="00843755">
      <w:pPr>
        <w:jc w:val="both"/>
      </w:pPr>
      <w:r>
        <w:t xml:space="preserve">Prosimy o potwierdzenie, że w tym punkcie Zamawiający wymaga podania ilości nienakładających, przyległych do siebie się warstw o przynajmniej dwóch grubościach jakie wykorzystuje się w radioterapii, czyli &gt; 1 mm i &lt; 1 mm. Pozytywna odpowiedź pozwoli Zamawiającemu uniknąć sytuacji, w której Wykonawcy będą oferować systemy duplikacji warstw nakładających podwajając ilość danych, których w żaden sposób nie można użyć w radioterapii.  Pragniemy zauważyć, że również w codziennej diagnostyce akwizycja z nakładaniem warstw jest zakazana zgodnie z opublikowanym przez Ministerstwo Zdrowia procedurami wzorcowymi. </w:t>
      </w:r>
    </w:p>
    <w:p w:rsidR="00843755" w:rsidRDefault="00843755" w:rsidP="00843755">
      <w:pPr>
        <w:numPr>
          <w:ilvl w:val="0"/>
          <w:numId w:val="12"/>
        </w:numPr>
        <w:suppressAutoHyphens w:val="0"/>
        <w:spacing w:line="280" w:lineRule="exact"/>
        <w:jc w:val="both"/>
        <w:rPr>
          <w:b/>
        </w:rPr>
      </w:pPr>
      <w:r>
        <w:rPr>
          <w:b/>
        </w:rPr>
        <w:t>Dotyczy załącznika nr 1 do SIWZ, w części CT, pkt 4 tabeli opisu tomografu komputerowego dedykowanego do planowania radioterapii (symulator TK).</w:t>
      </w:r>
    </w:p>
    <w:p w:rsidR="00843755" w:rsidRDefault="00843755" w:rsidP="00843755">
      <w:pPr>
        <w:jc w:val="both"/>
      </w:pPr>
      <w:r>
        <w:t xml:space="preserve">Pragniemy zauważyć, że przyznając prawie połowę wszystkich punktów za jakość tylko jednemu parametrowi, który na dodatek promuje rozwiązania tylko jednego producenta, jest złamaniem zasady równego traktowania potencjalnych Wykonawców. Dlatego też prosimy o sprostowanie i zmianę ilości zdobywanych punktów tak jak to jest w innych parametrach </w:t>
      </w:r>
      <w:proofErr w:type="spellStart"/>
      <w:r>
        <w:t>tj</w:t>
      </w:r>
      <w:proofErr w:type="spellEnd"/>
      <w:r>
        <w:t>:.</w:t>
      </w:r>
    </w:p>
    <w:p w:rsidR="00843755" w:rsidRDefault="00843755" w:rsidP="00843755">
      <w:pPr>
        <w:jc w:val="both"/>
      </w:pPr>
      <w:r>
        <w:t>≥16 warstw - 0 pkt, ≥20 warstw - 2 pkt, ≥64 warstwy - 4 pkt</w:t>
      </w:r>
    </w:p>
    <w:p w:rsidR="00843755" w:rsidRDefault="00843755" w:rsidP="00843755">
      <w:pPr>
        <w:jc w:val="both"/>
      </w:pPr>
    </w:p>
    <w:p w:rsidR="00843755" w:rsidRDefault="00843755" w:rsidP="00843755">
      <w:pPr>
        <w:numPr>
          <w:ilvl w:val="0"/>
          <w:numId w:val="12"/>
        </w:numPr>
        <w:suppressAutoHyphens w:val="0"/>
        <w:spacing w:line="280" w:lineRule="exact"/>
        <w:jc w:val="both"/>
        <w:rPr>
          <w:b/>
        </w:rPr>
      </w:pPr>
      <w:r>
        <w:rPr>
          <w:b/>
        </w:rPr>
        <w:t>Dotyczy załącznika nr 1 do SIWZ, w części CT, pkt 4 i 5 tabeli opisu tomografu komputerowego dedykowanego do planowania radioterapii (symulator TK).</w:t>
      </w:r>
    </w:p>
    <w:p w:rsidR="00843755" w:rsidRDefault="00843755" w:rsidP="00843755">
      <w:pPr>
        <w:jc w:val="both"/>
      </w:pPr>
      <w:r>
        <w:t>Jednym z najważniejszych parametrów tomografii komputerowej, znacznie bardziej istotnym od ilości warstw, jest tzw. pokrycie anatomiczne detektora, czyli szerokość detektora w osi Z. Szerokość detektora określa wielkość anatomii skanowanej podczas jednego obrotu układu lampa-detektor. Prosimy o wprowadzenie punktacji za zaoferowane jak najszerszego detektora w osi Z. Proponujemy wprowadzenie następującej punktacji: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828"/>
        <w:gridCol w:w="850"/>
        <w:gridCol w:w="2268"/>
        <w:gridCol w:w="1843"/>
      </w:tblGrid>
      <w:tr w:rsidR="00843755" w:rsidTr="00843755">
        <w:trPr>
          <w:trHeight w:val="855"/>
        </w:trPr>
        <w:tc>
          <w:tcPr>
            <w:tcW w:w="56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lang w:val="en-US"/>
              </w:rPr>
            </w:pPr>
            <w:r>
              <w:rPr>
                <w:rFonts w:cs="Arial"/>
                <w:color w:val="000000"/>
              </w:rPr>
              <w:t>5a</w:t>
            </w:r>
          </w:p>
        </w:tc>
        <w:tc>
          <w:tcPr>
            <w:tcW w:w="3828"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 xml:space="preserve">Szerokość detektora w osi Z odniesiona do </w:t>
            </w:r>
            <w:proofErr w:type="spellStart"/>
            <w:r>
              <w:rPr>
                <w:rFonts w:cs="Arial"/>
                <w:color w:val="000000"/>
              </w:rPr>
              <w:t>izocentrum</w:t>
            </w:r>
            <w:proofErr w:type="spellEnd"/>
            <w:r>
              <w:rPr>
                <w:rFonts w:cs="Arial"/>
                <w:color w:val="000000"/>
              </w:rPr>
              <w:t xml:space="preserve"> (podać z dokładnością do 1 mm)</w:t>
            </w:r>
          </w:p>
        </w:tc>
        <w:tc>
          <w:tcPr>
            <w:tcW w:w="85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lang w:val="en-US"/>
              </w:rPr>
            </w:pPr>
            <w:r>
              <w:rPr>
                <w:rFonts w:cs="Arial"/>
                <w:color w:val="000000"/>
              </w:rPr>
              <w:t>TAK, podać</w:t>
            </w:r>
          </w:p>
        </w:tc>
        <w:tc>
          <w:tcPr>
            <w:tcW w:w="2268"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i/>
                <w:iCs/>
                <w:color w:val="C0504D"/>
              </w:rPr>
            </w:pPr>
            <w:r>
              <w:rPr>
                <w:rFonts w:cs="Arial"/>
                <w:i/>
                <w:iCs/>
                <w:color w:val="C0504D"/>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19,2 mm - 0 pkt                             &gt; 19,2 mm - 2 pkt                     &gt; 38 mm - 4 pkt</w:t>
            </w:r>
          </w:p>
        </w:tc>
      </w:tr>
    </w:tbl>
    <w:p w:rsidR="00843755" w:rsidRDefault="00843755" w:rsidP="00843755">
      <w:pPr>
        <w:jc w:val="both"/>
        <w:rPr>
          <w:rFonts w:ascii="GE Inspira" w:hAnsi="GE Inspira"/>
        </w:rPr>
      </w:pPr>
    </w:p>
    <w:p w:rsidR="00843755" w:rsidRDefault="00843755" w:rsidP="00843755">
      <w:pPr>
        <w:numPr>
          <w:ilvl w:val="0"/>
          <w:numId w:val="12"/>
        </w:numPr>
        <w:suppressAutoHyphens w:val="0"/>
        <w:spacing w:line="280" w:lineRule="exact"/>
        <w:jc w:val="both"/>
        <w:rPr>
          <w:b/>
        </w:rPr>
      </w:pPr>
      <w:r>
        <w:rPr>
          <w:b/>
        </w:rPr>
        <w:t>Dotyczy załącznika nr 1 do SIWZ, w części CT, pkt 13 tabeli opisu tomografu komputerowego dedykowanego do planowania radioterapii (symulator TK).</w:t>
      </w:r>
    </w:p>
    <w:p w:rsidR="00843755" w:rsidRDefault="00843755" w:rsidP="00843755">
      <w:pPr>
        <w:jc w:val="both"/>
      </w:pPr>
      <w:r>
        <w:t xml:space="preserve">Zmawiający w tym punkcie przyznaje tylko jeden punkt za zaoferowanie dwóch wskaźników zatrzymania oddechu. W symulacji TK bardzo często wykonuje się badania w określonej fazie oddechowej. Do monitorowania czasu podczas skanowania służą wskaźniki oddechu z licznikami czasu. Dwa wskaźniki zatrzymania oddechu są bardzo przydatnym elementem ułatwiający badania pacjenta w określonej fazie oddechowej. W związku z powyższym prosimy o rozważenie zwiększenia do 4 pkt przyznawanej ilości punktów za zaaferowanie tej funkcjonalności. </w:t>
      </w:r>
    </w:p>
    <w:p w:rsidR="00843755" w:rsidRDefault="00843755" w:rsidP="00843755">
      <w:pPr>
        <w:pStyle w:val="Akapitzlist"/>
        <w:spacing w:after="0"/>
        <w:jc w:val="both"/>
        <w:rPr>
          <w:rFonts w:ascii="GE Inspira" w:hAnsi="GE Inspira"/>
        </w:rPr>
      </w:pPr>
    </w:p>
    <w:p w:rsidR="00843755" w:rsidRDefault="00843755" w:rsidP="00843755">
      <w:pPr>
        <w:numPr>
          <w:ilvl w:val="0"/>
          <w:numId w:val="12"/>
        </w:numPr>
        <w:suppressAutoHyphens w:val="0"/>
        <w:spacing w:line="280" w:lineRule="exact"/>
        <w:jc w:val="both"/>
        <w:rPr>
          <w:rFonts w:ascii="GE Inspira" w:hAnsi="GE Inspira"/>
          <w:b/>
        </w:rPr>
      </w:pPr>
      <w:r>
        <w:rPr>
          <w:b/>
        </w:rPr>
        <w:t>Dotyczy załącznika nr 1 do SIWZ, w części CT, pkt 57 tabeli opisu tomografu komputerowego dedykowanego do planowania radioterapii (symulator TK).</w:t>
      </w:r>
    </w:p>
    <w:p w:rsidR="00843755" w:rsidRDefault="00843755" w:rsidP="00843755">
      <w:pPr>
        <w:jc w:val="both"/>
      </w:pPr>
      <w:r>
        <w:t>Obrazy DRR są niezbędne w planowaniu i weryfikacji radioterapii. Ułatwiają one podczas fazy leczenia dokładne umieszczenie pacjenta pod akceleratorem cząstek i są niezastąpione w porównaniu do zwykłych znacznik podskórnych, które służą jedynie do pozycjonowania zgrubnego. Czy w związku z tym Zamawiający zechciałby wprowadzić parametr</w:t>
      </w:r>
    </w:p>
    <w:p w:rsidR="00843755" w:rsidRDefault="00843755" w:rsidP="00843755">
      <w:pPr>
        <w:jc w:val="both"/>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2693"/>
        <w:gridCol w:w="1984"/>
        <w:gridCol w:w="1134"/>
        <w:gridCol w:w="2552"/>
      </w:tblGrid>
      <w:tr w:rsidR="00843755" w:rsidTr="00843755">
        <w:trPr>
          <w:trHeight w:val="675"/>
        </w:trPr>
        <w:tc>
          <w:tcPr>
            <w:tcW w:w="99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cs="Arial"/>
                <w:color w:val="000000"/>
              </w:rPr>
            </w:pPr>
            <w:r>
              <w:rPr>
                <w:rFonts w:cs="Arial"/>
                <w:color w:val="000000"/>
              </w:rPr>
              <w:t>57a</w:t>
            </w:r>
          </w:p>
        </w:tc>
        <w:tc>
          <w:tcPr>
            <w:tcW w:w="269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Tworzenie i prezentacja obrazów DRR dla pól nieregularnych</w:t>
            </w:r>
          </w:p>
        </w:tc>
        <w:tc>
          <w:tcPr>
            <w:tcW w:w="198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lang w:val="en-US"/>
              </w:rPr>
            </w:pPr>
            <w:r>
              <w:rPr>
                <w:rFonts w:cs="Arial"/>
                <w:color w:val="000000"/>
              </w:rPr>
              <w:t>TAK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43755" w:rsidRDefault="00843755">
            <w:pPr>
              <w:jc w:val="both"/>
              <w:rPr>
                <w:rFonts w:cs="Arial"/>
                <w:i/>
                <w:iCs/>
                <w:color w:val="C0504D"/>
              </w:rPr>
            </w:pPr>
            <w:r>
              <w:rPr>
                <w:rFonts w:cs="Arial"/>
                <w:i/>
                <w:iCs/>
                <w:color w:val="C0504D"/>
              </w:rPr>
              <w:t> </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cs="Arial"/>
                <w:i/>
                <w:iCs/>
                <w:color w:val="C0504D"/>
              </w:rPr>
            </w:pPr>
          </w:p>
        </w:tc>
      </w:tr>
    </w:tbl>
    <w:p w:rsidR="00843755" w:rsidRDefault="00843755" w:rsidP="00843755">
      <w:pPr>
        <w:pStyle w:val="Akapitzlist"/>
        <w:spacing w:after="0"/>
        <w:jc w:val="both"/>
        <w:rPr>
          <w:rFonts w:ascii="GE Inspira" w:hAnsi="GE Inspira"/>
        </w:rPr>
      </w:pPr>
    </w:p>
    <w:p w:rsidR="00843755" w:rsidRDefault="00843755" w:rsidP="00843755">
      <w:pPr>
        <w:numPr>
          <w:ilvl w:val="0"/>
          <w:numId w:val="12"/>
        </w:numPr>
        <w:suppressAutoHyphens w:val="0"/>
        <w:spacing w:line="280" w:lineRule="exact"/>
        <w:jc w:val="both"/>
        <w:rPr>
          <w:rFonts w:ascii="GE Inspira" w:hAnsi="GE Inspira"/>
          <w:b/>
        </w:rPr>
      </w:pPr>
      <w:r>
        <w:rPr>
          <w:b/>
        </w:rPr>
        <w:t>Dotyczy załącznika nr 1 do SIWZ, w części CT, pkt 18 tabeli opisu tomografu komputerowego dedykowanego do planowania radioterapii (symulator TK).</w:t>
      </w:r>
    </w:p>
    <w:p w:rsidR="00843755" w:rsidRDefault="00843755" w:rsidP="00843755">
      <w:pPr>
        <w:jc w:val="both"/>
      </w:pPr>
      <w:r>
        <w:t xml:space="preserve">Z uwagi na duży otwór </w:t>
      </w:r>
      <w:proofErr w:type="spellStart"/>
      <w:r>
        <w:t>gantry</w:t>
      </w:r>
      <w:proofErr w:type="spellEnd"/>
      <w:r>
        <w:t xml:space="preserve"> wymagany w radioterapii, a przez to dużą odległość pomiędzy lampą </w:t>
      </w:r>
      <w:proofErr w:type="spellStart"/>
      <w:r>
        <w:t>rtg</w:t>
      </w:r>
      <w:proofErr w:type="spellEnd"/>
      <w:r>
        <w:t xml:space="preserve"> i detektorem, niezmiernie istotny w takich systemach jest maksymalny prąd anodowy. Moc promieniowania maleje z kwadratem odległości więc Zamawiający powinien być zainteresowany pozyskaniem systemu o jak największym prądzie anodowym możliwym do wykorzystania w protokole klinicznym.  Proponujemy modyfikację punktacji w następujący sposób:</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1418"/>
        <w:gridCol w:w="1417"/>
        <w:gridCol w:w="2410"/>
      </w:tblGrid>
      <w:tr w:rsidR="00843755" w:rsidTr="00843755">
        <w:trPr>
          <w:trHeight w:val="1025"/>
        </w:trPr>
        <w:tc>
          <w:tcPr>
            <w:tcW w:w="56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lang w:val="en-US"/>
              </w:rPr>
            </w:pPr>
            <w:r>
              <w:rPr>
                <w:rFonts w:cs="Arial"/>
                <w:color w:val="000000"/>
              </w:rPr>
              <w:t>18</w:t>
            </w:r>
          </w:p>
        </w:tc>
        <w:tc>
          <w:tcPr>
            <w:tcW w:w="354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 xml:space="preserve">Maksymalny prąd anodowy możliwy do wykorzystania w protokole klinicznym min. 650 </w:t>
            </w:r>
            <w:proofErr w:type="spellStart"/>
            <w:r>
              <w:rPr>
                <w:rFonts w:cs="Arial"/>
                <w:color w:val="000000"/>
              </w:rPr>
              <w:t>mA</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lang w:val="en-US"/>
              </w:rPr>
            </w:pPr>
            <w:r>
              <w:rPr>
                <w:rFonts w:cs="Arial"/>
                <w:color w:val="000000"/>
              </w:rPr>
              <w:t>TAK, podać</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i/>
                <w:iCs/>
                <w:color w:val="C0504D"/>
              </w:rPr>
            </w:pPr>
            <w:r>
              <w:rPr>
                <w:rFonts w:cs="Arial"/>
                <w:i/>
                <w:iCs/>
                <w:color w:val="C0504D"/>
              </w:rPr>
              <w:t> </w:t>
            </w:r>
          </w:p>
        </w:tc>
        <w:tc>
          <w:tcPr>
            <w:tcW w:w="241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 xml:space="preserve">650 </w:t>
            </w:r>
            <w:proofErr w:type="spellStart"/>
            <w:r>
              <w:rPr>
                <w:rFonts w:cs="Arial"/>
                <w:color w:val="000000"/>
              </w:rPr>
              <w:t>mA</w:t>
            </w:r>
            <w:proofErr w:type="spellEnd"/>
            <w:r>
              <w:rPr>
                <w:rFonts w:cs="Arial"/>
                <w:color w:val="000000"/>
              </w:rPr>
              <w:t xml:space="preserve"> - 0 pkt;</w:t>
            </w:r>
          </w:p>
          <w:p w:rsidR="00843755" w:rsidRDefault="00843755">
            <w:pPr>
              <w:jc w:val="both"/>
              <w:rPr>
                <w:rFonts w:cs="Arial"/>
                <w:color w:val="000000"/>
              </w:rPr>
            </w:pPr>
            <w:r>
              <w:rPr>
                <w:rFonts w:cs="Arial"/>
                <w:color w:val="000000"/>
              </w:rPr>
              <w:t xml:space="preserve">&gt; 650 </w:t>
            </w:r>
            <w:proofErr w:type="spellStart"/>
            <w:r>
              <w:rPr>
                <w:rFonts w:cs="Arial"/>
                <w:color w:val="000000"/>
              </w:rPr>
              <w:t>mA</w:t>
            </w:r>
            <w:proofErr w:type="spellEnd"/>
            <w:r>
              <w:rPr>
                <w:rFonts w:cs="Arial"/>
                <w:color w:val="000000"/>
              </w:rPr>
              <w:t xml:space="preserve"> - 4 pkt</w:t>
            </w:r>
          </w:p>
          <w:p w:rsidR="00843755" w:rsidRDefault="00843755">
            <w:pPr>
              <w:jc w:val="both"/>
              <w:rPr>
                <w:rFonts w:cs="Arial"/>
                <w:color w:val="000000"/>
              </w:rPr>
            </w:pPr>
            <w:r>
              <w:rPr>
                <w:rFonts w:cs="Arial"/>
                <w:color w:val="000000"/>
              </w:rPr>
              <w:t xml:space="preserve">≥ 800 </w:t>
            </w:r>
            <w:proofErr w:type="spellStart"/>
            <w:r>
              <w:rPr>
                <w:rFonts w:cs="Arial"/>
                <w:color w:val="000000"/>
              </w:rPr>
              <w:t>mA</w:t>
            </w:r>
            <w:proofErr w:type="spellEnd"/>
            <w:r>
              <w:rPr>
                <w:rFonts w:cs="Arial"/>
                <w:color w:val="000000"/>
              </w:rPr>
              <w:t xml:space="preserve"> – 7 pkt</w:t>
            </w:r>
          </w:p>
        </w:tc>
      </w:tr>
    </w:tbl>
    <w:p w:rsidR="00843755" w:rsidRDefault="00843755" w:rsidP="00843755">
      <w:pPr>
        <w:pStyle w:val="Akapitzlist"/>
        <w:spacing w:after="0"/>
        <w:jc w:val="both"/>
        <w:rPr>
          <w:rFonts w:ascii="GE Inspira" w:eastAsia="Calibri" w:hAnsi="GE Inspira" w:cs="Times New Roman"/>
        </w:rPr>
      </w:pPr>
    </w:p>
    <w:p w:rsidR="00843755" w:rsidRDefault="00843755" w:rsidP="00843755">
      <w:pPr>
        <w:numPr>
          <w:ilvl w:val="0"/>
          <w:numId w:val="12"/>
        </w:numPr>
        <w:suppressAutoHyphens w:val="0"/>
        <w:spacing w:line="280" w:lineRule="exact"/>
        <w:jc w:val="both"/>
        <w:rPr>
          <w:rFonts w:ascii="GE Inspira" w:hAnsi="GE Inspira"/>
          <w:b/>
        </w:rPr>
      </w:pPr>
      <w:r>
        <w:rPr>
          <w:b/>
        </w:rPr>
        <w:t>Dotyczy załącznika nr 1 do SIWZ, w części CT, pkt 58 i 59 tabeli opisu tomografu komputerowego dedykowanego do planowania radioterapii (symulator TK).</w:t>
      </w:r>
    </w:p>
    <w:p w:rsidR="00843755" w:rsidRDefault="00843755" w:rsidP="00843755">
      <w:pPr>
        <w:jc w:val="both"/>
      </w:pPr>
      <w:r>
        <w:t xml:space="preserve">Jedną z podstawowych nauk jakie pobierają na studiach przyszli lekarze jest znajomość anatomii człowiek, umiejętność jej nazwania i policzenia np. żeber czy kręgów kręgosłupie. Dlatego też wnosimy o usunięcie punktów 59 i 60 lub alternatywnie dopuszczenie zaoferowania atlasu anatomicznego. </w:t>
      </w:r>
    </w:p>
    <w:p w:rsidR="00843755" w:rsidRDefault="00843755" w:rsidP="00843755">
      <w:pPr>
        <w:pStyle w:val="Akapitzlist"/>
        <w:spacing w:after="0"/>
        <w:jc w:val="both"/>
        <w:rPr>
          <w:rFonts w:ascii="GE Inspira" w:hAnsi="GE Inspira"/>
        </w:rPr>
      </w:pPr>
    </w:p>
    <w:p w:rsidR="00843755" w:rsidRDefault="00843755" w:rsidP="00843755">
      <w:pPr>
        <w:numPr>
          <w:ilvl w:val="0"/>
          <w:numId w:val="12"/>
        </w:numPr>
        <w:suppressAutoHyphens w:val="0"/>
        <w:spacing w:line="280" w:lineRule="exact"/>
        <w:jc w:val="both"/>
        <w:rPr>
          <w:rFonts w:ascii="GE Inspira" w:hAnsi="GE Inspira"/>
          <w:b/>
        </w:rPr>
      </w:pPr>
      <w:r>
        <w:rPr>
          <w:b/>
        </w:rPr>
        <w:t>Dotyczy załącznika nr 1 do SIWZ, w części CT, pkt 57 tabeli opisu tomografu komputerowego dedykowanego do planowania radioterapii (symulator TK).</w:t>
      </w:r>
    </w:p>
    <w:p w:rsidR="00843755" w:rsidRDefault="00843755" w:rsidP="00843755">
      <w:pPr>
        <w:jc w:val="both"/>
      </w:pPr>
      <w:r>
        <w:t>Prosimy o rozważenie wprowadzenia punktacji za zaoferowanie oprogramowania do automatycznej segmentacji wrażliwych narządów w obszarze głowy. Tego typu oprogramowanie znacznie ułatwia pracę fizyka, kilkukrotnie skraca i automatyzuje konturowanie oraz przyspiesza proces symulacji wiązki. Proponujemy wprowadzenie następującej punktacji:</w:t>
      </w:r>
    </w:p>
    <w:p w:rsidR="00843755" w:rsidRDefault="00843755" w:rsidP="00843755">
      <w:pPr>
        <w:pStyle w:val="Akapitzlist"/>
        <w:spacing w:after="0"/>
        <w:jc w:val="both"/>
        <w:rPr>
          <w:rFonts w:ascii="GE Inspira" w:hAnsi="GE Inspira"/>
        </w:rPr>
      </w:pP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620"/>
        <w:gridCol w:w="1620"/>
        <w:gridCol w:w="1440"/>
        <w:gridCol w:w="2700"/>
      </w:tblGrid>
      <w:tr w:rsidR="00843755" w:rsidTr="00843755">
        <w:trPr>
          <w:trHeight w:val="1025"/>
        </w:trPr>
        <w:tc>
          <w:tcPr>
            <w:tcW w:w="96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ascii="GE Inspira" w:hAnsi="GE Inspira" w:cs="Arial"/>
                <w:color w:val="000000"/>
              </w:rPr>
            </w:pPr>
            <w:r>
              <w:rPr>
                <w:rFonts w:cs="Arial"/>
                <w:color w:val="000000"/>
              </w:rPr>
              <w:t>57b</w:t>
            </w:r>
          </w:p>
        </w:tc>
        <w:tc>
          <w:tcPr>
            <w:tcW w:w="362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spacing w:line="240" w:lineRule="exact"/>
              <w:ind w:left="34"/>
              <w:jc w:val="both"/>
              <w:rPr>
                <w:rFonts w:eastAsia="Times" w:cs="Tahoma"/>
              </w:rPr>
            </w:pPr>
            <w:r>
              <w:rPr>
                <w:rFonts w:cs="Tahoma"/>
              </w:rPr>
              <w:t>Automatyczna segmentacja następujących struktur anatomicznych w obszarze głowy:</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Pień mózgu</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Móżdżek</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Mózg</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Rdzeń kręgowy</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Oko lewe</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Oko prawe</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Kość gnykowa</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Soczewka lewa</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Soczewka prawa</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Węzły lewe I prawe (do 6 poziomów)</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Żuchwa</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Przełyk (część szyjna)</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Skrzyżowanie nerwów wzrokowych</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Nerw wzrokowy lewy</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Nerw wzrokowy prawy</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lastRenderedPageBreak/>
              <w:t>Ślinianka przyuszna lewa</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Ślinianka przyuszna prawa</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 xml:space="preserve">Węzły </w:t>
            </w:r>
            <w:proofErr w:type="spellStart"/>
            <w:r>
              <w:rPr>
                <w:rFonts w:ascii="GE Inspira" w:hAnsi="GE Inspira" w:cs="Tahoma"/>
                <w:color w:val="000000"/>
                <w:sz w:val="22"/>
                <w:szCs w:val="22"/>
              </w:rPr>
              <w:t>zagardłowe</w:t>
            </w:r>
            <w:proofErr w:type="spellEnd"/>
            <w:r>
              <w:rPr>
                <w:rFonts w:ascii="GE Inspira" w:hAnsi="GE Inspira" w:cs="Tahoma"/>
                <w:color w:val="000000"/>
                <w:sz w:val="22"/>
                <w:szCs w:val="22"/>
              </w:rPr>
              <w:t xml:space="preserve"> lewe</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 xml:space="preserve">Węzły </w:t>
            </w:r>
            <w:proofErr w:type="spellStart"/>
            <w:r>
              <w:rPr>
                <w:rFonts w:ascii="GE Inspira" w:hAnsi="GE Inspira" w:cs="Tahoma"/>
                <w:color w:val="000000"/>
                <w:sz w:val="22"/>
                <w:szCs w:val="22"/>
              </w:rPr>
              <w:t>zagardłowe</w:t>
            </w:r>
            <w:proofErr w:type="spellEnd"/>
            <w:r>
              <w:rPr>
                <w:rFonts w:ascii="GE Inspira" w:hAnsi="GE Inspira" w:cs="Tahoma"/>
                <w:color w:val="000000"/>
                <w:sz w:val="22"/>
                <w:szCs w:val="22"/>
              </w:rPr>
              <w:t xml:space="preserve"> prawe</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Węzeł podżuchwowy lewy</w:t>
            </w:r>
          </w:p>
          <w:p w:rsidR="00843755" w:rsidRDefault="00843755" w:rsidP="00843755">
            <w:pPr>
              <w:pStyle w:val="ListParagraph2"/>
              <w:numPr>
                <w:ilvl w:val="0"/>
                <w:numId w:val="13"/>
              </w:numPr>
              <w:jc w:val="both"/>
              <w:rPr>
                <w:rFonts w:ascii="GE Inspira" w:hAnsi="GE Inspira" w:cs="Tahoma"/>
                <w:color w:val="000000"/>
                <w:sz w:val="22"/>
                <w:szCs w:val="22"/>
                <w:lang w:eastAsia="en-US"/>
              </w:rPr>
            </w:pPr>
            <w:r>
              <w:rPr>
                <w:rFonts w:ascii="GE Inspira" w:hAnsi="GE Inspira" w:cs="Tahoma"/>
                <w:color w:val="000000"/>
                <w:sz w:val="22"/>
                <w:szCs w:val="22"/>
              </w:rPr>
              <w:t>Węzeł podżuchwowy prawy</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ascii="GE Inspira" w:hAnsi="GE Inspira" w:cs="Arial"/>
                <w:color w:val="000000"/>
                <w:sz w:val="22"/>
                <w:szCs w:val="22"/>
                <w:lang w:eastAsia="en-US"/>
              </w:rPr>
            </w:pPr>
            <w:r>
              <w:rPr>
                <w:rFonts w:cs="Arial"/>
                <w:color w:val="000000"/>
              </w:rPr>
              <w:lastRenderedPageBreak/>
              <w:t>TAK/NIE</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i/>
                <w:iCs/>
                <w:color w:val="C0504D"/>
              </w:rPr>
            </w:pPr>
            <w:r>
              <w:rPr>
                <w:rFonts w:cs="Arial"/>
                <w:i/>
                <w:iCs/>
                <w:color w:val="C0504D"/>
              </w:rPr>
              <w:t> </w:t>
            </w:r>
          </w:p>
        </w:tc>
        <w:tc>
          <w:tcPr>
            <w:tcW w:w="270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TAK – 7 pkt</w:t>
            </w:r>
          </w:p>
          <w:p w:rsidR="00843755" w:rsidRDefault="00843755">
            <w:pPr>
              <w:jc w:val="both"/>
              <w:rPr>
                <w:rFonts w:cs="Arial"/>
                <w:color w:val="000000"/>
              </w:rPr>
            </w:pPr>
            <w:r>
              <w:rPr>
                <w:rFonts w:cs="Arial"/>
                <w:color w:val="000000"/>
              </w:rPr>
              <w:t>NIE – 0 pkt</w:t>
            </w:r>
          </w:p>
        </w:tc>
      </w:tr>
    </w:tbl>
    <w:p w:rsidR="00843755" w:rsidRDefault="00843755" w:rsidP="00843755">
      <w:pPr>
        <w:pStyle w:val="Akapitzlist"/>
        <w:spacing w:after="0"/>
        <w:jc w:val="both"/>
        <w:rPr>
          <w:rFonts w:ascii="GE Inspira" w:eastAsia="Calibri" w:hAnsi="GE Inspira" w:cs="Times New Roman"/>
        </w:rPr>
      </w:pPr>
    </w:p>
    <w:p w:rsidR="00843755" w:rsidRDefault="00843755" w:rsidP="00843755">
      <w:pPr>
        <w:numPr>
          <w:ilvl w:val="0"/>
          <w:numId w:val="12"/>
        </w:numPr>
        <w:suppressAutoHyphens w:val="0"/>
        <w:spacing w:line="280" w:lineRule="exact"/>
        <w:jc w:val="both"/>
        <w:rPr>
          <w:rFonts w:ascii="GE Inspira" w:hAnsi="GE Inspira"/>
          <w:b/>
        </w:rPr>
      </w:pPr>
      <w:r>
        <w:rPr>
          <w:b/>
        </w:rPr>
        <w:t>Dotyczy załącznika nr 1 do SIWZ, w części CT, pkt 57 tabeli opisu tomografu komputerowego dedykowanego do planowania radioterapii (symulator TK).</w:t>
      </w:r>
    </w:p>
    <w:p w:rsidR="00843755" w:rsidRDefault="00843755" w:rsidP="00843755">
      <w:pPr>
        <w:jc w:val="both"/>
      </w:pPr>
      <w:r>
        <w:t>Prosimy o rozważenie wprowadzenia punktacji za zaoferowanie oprogramowania do automatycznej segmentacji wrażliwych narządów w obszarze klatki piersiowej. Tego typu oprogramowanie znacznie ułatwia pracę fizyka, kilkukrotnie skraca i automatyzuje konturowanie oraz przyspiesza proces symulacji wiązki. Proponujemy wprowadzenie następującej punktacji:</w:t>
      </w:r>
    </w:p>
    <w:p w:rsidR="00843755" w:rsidRDefault="00843755" w:rsidP="00843755">
      <w:pPr>
        <w:pStyle w:val="Akapitzlist"/>
        <w:spacing w:after="0"/>
        <w:jc w:val="both"/>
        <w:rPr>
          <w:rFonts w:ascii="GE Inspira" w:hAnsi="GE Inspira"/>
        </w:rPr>
      </w:pP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620"/>
        <w:gridCol w:w="1620"/>
        <w:gridCol w:w="1440"/>
        <w:gridCol w:w="2700"/>
      </w:tblGrid>
      <w:tr w:rsidR="00843755" w:rsidTr="00843755">
        <w:trPr>
          <w:trHeight w:val="1025"/>
        </w:trPr>
        <w:tc>
          <w:tcPr>
            <w:tcW w:w="96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ascii="GE Inspira" w:hAnsi="GE Inspira" w:cs="Arial"/>
                <w:color w:val="000000"/>
              </w:rPr>
            </w:pPr>
            <w:r>
              <w:rPr>
                <w:rFonts w:cs="Arial"/>
                <w:color w:val="000000"/>
              </w:rPr>
              <w:t>57c</w:t>
            </w:r>
          </w:p>
        </w:tc>
        <w:tc>
          <w:tcPr>
            <w:tcW w:w="3620" w:type="dxa"/>
            <w:tcBorders>
              <w:top w:val="single" w:sz="4" w:space="0" w:color="auto"/>
              <w:left w:val="single" w:sz="4" w:space="0" w:color="auto"/>
              <w:bottom w:val="single" w:sz="4" w:space="0" w:color="auto"/>
              <w:right w:val="single" w:sz="4" w:space="0" w:color="auto"/>
            </w:tcBorders>
            <w:hideMark/>
          </w:tcPr>
          <w:p w:rsidR="00843755" w:rsidRDefault="00843755">
            <w:pPr>
              <w:spacing w:line="240" w:lineRule="exact"/>
              <w:ind w:left="34"/>
              <w:jc w:val="both"/>
              <w:rPr>
                <w:rFonts w:eastAsia="Times" w:cs="Tahoma"/>
              </w:rPr>
            </w:pPr>
            <w:r>
              <w:rPr>
                <w:rFonts w:cs="Tahoma"/>
              </w:rPr>
              <w:t>Automatyczna segmentacja następujących struktur anatomicznych w obszarze klatki piersiowej:</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Aorta</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Splot ramienny</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Mostek</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Rdzeń kręgowy</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Serce</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Żyła główna dolna</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Płuco lewe</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Płuco prawe</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Przełyk</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Osierdzie</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Drzewo oskrzelowe, część proksymalna</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Tętnica płucna</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Żyła płucna</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Kanał kręgowy</w:t>
            </w:r>
          </w:p>
          <w:p w:rsidR="00843755" w:rsidRDefault="00843755" w:rsidP="00843755">
            <w:pPr>
              <w:pStyle w:val="ListParagraph2"/>
              <w:numPr>
                <w:ilvl w:val="0"/>
                <w:numId w:val="14"/>
              </w:numPr>
              <w:jc w:val="both"/>
              <w:rPr>
                <w:rFonts w:ascii="GE Inspira" w:hAnsi="GE Inspira" w:cs="Tahoma"/>
                <w:color w:val="000000"/>
                <w:sz w:val="22"/>
                <w:szCs w:val="22"/>
                <w:lang w:eastAsia="en-US"/>
              </w:rPr>
            </w:pPr>
            <w:r>
              <w:rPr>
                <w:rFonts w:ascii="GE Inspira" w:hAnsi="GE Inspira" w:cs="Tahoma"/>
                <w:color w:val="000000"/>
                <w:sz w:val="22"/>
                <w:szCs w:val="22"/>
              </w:rPr>
              <w:t>Żyła główna górna</w:t>
            </w:r>
          </w:p>
          <w:p w:rsidR="00843755" w:rsidRDefault="00843755" w:rsidP="00843755">
            <w:pPr>
              <w:numPr>
                <w:ilvl w:val="0"/>
                <w:numId w:val="14"/>
              </w:numPr>
              <w:suppressAutoHyphens w:val="0"/>
              <w:spacing w:line="240" w:lineRule="exact"/>
              <w:jc w:val="both"/>
              <w:rPr>
                <w:rFonts w:ascii="GE Inspira" w:hAnsi="GE Inspira" w:cs="Tahoma"/>
                <w:sz w:val="22"/>
                <w:szCs w:val="22"/>
                <w:lang w:eastAsia="en-US"/>
              </w:rPr>
            </w:pPr>
            <w:r>
              <w:rPr>
                <w:rFonts w:cs="Tahoma"/>
                <w:color w:val="000000"/>
              </w:rPr>
              <w:t>Tchawica</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TAK/NIE</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i/>
                <w:iCs/>
                <w:color w:val="C0504D"/>
              </w:rPr>
            </w:pPr>
            <w:r>
              <w:rPr>
                <w:rFonts w:cs="Arial"/>
                <w:i/>
                <w:iCs/>
                <w:color w:val="C0504D"/>
              </w:rPr>
              <w:t> </w:t>
            </w:r>
          </w:p>
        </w:tc>
        <w:tc>
          <w:tcPr>
            <w:tcW w:w="270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TAK – 7 pkt</w:t>
            </w:r>
          </w:p>
          <w:p w:rsidR="00843755" w:rsidRDefault="00843755">
            <w:pPr>
              <w:jc w:val="both"/>
              <w:rPr>
                <w:rFonts w:cs="Arial"/>
                <w:color w:val="000000"/>
              </w:rPr>
            </w:pPr>
            <w:r>
              <w:rPr>
                <w:rFonts w:cs="Arial"/>
                <w:color w:val="000000"/>
              </w:rPr>
              <w:t>NIE – 0 pkt</w:t>
            </w:r>
          </w:p>
        </w:tc>
      </w:tr>
    </w:tbl>
    <w:p w:rsidR="00843755" w:rsidRDefault="00843755" w:rsidP="00843755">
      <w:pPr>
        <w:jc w:val="both"/>
        <w:rPr>
          <w:rFonts w:ascii="GE Inspira" w:hAnsi="GE Inspira"/>
          <w:b/>
        </w:rPr>
      </w:pPr>
    </w:p>
    <w:p w:rsidR="00843755" w:rsidRDefault="00843755" w:rsidP="00843755">
      <w:pPr>
        <w:numPr>
          <w:ilvl w:val="0"/>
          <w:numId w:val="12"/>
        </w:numPr>
        <w:suppressAutoHyphens w:val="0"/>
        <w:spacing w:line="280" w:lineRule="exact"/>
        <w:jc w:val="both"/>
        <w:rPr>
          <w:b/>
        </w:rPr>
      </w:pPr>
      <w:r>
        <w:rPr>
          <w:b/>
        </w:rPr>
        <w:t>Dotyczy załącznika nr 1 do SIWZ, w części CT, pkt 57 tabeli opisu tomografu komputerowego dedykowanego do planowania radioterapii (symulator TK).</w:t>
      </w:r>
    </w:p>
    <w:p w:rsidR="00843755" w:rsidRDefault="00843755" w:rsidP="00843755">
      <w:pPr>
        <w:jc w:val="both"/>
      </w:pPr>
      <w:r>
        <w:t>Prosimy o rozważenie wprowadzenia punktacji za zaoferowanie oprogramowania do automatycznej segmentacji wrażliwych narządów w obszarze miednicy. Tego typu oprogramowanie znacznie ułatwia pracę fizyka, kilkukrotnie skraca i automatyzuje konturowanie oraz przyspiesza proces symulacji wiązki. Proponujemy wprowadzenie następującej punktacji:</w:t>
      </w:r>
    </w:p>
    <w:p w:rsidR="00843755" w:rsidRDefault="00843755" w:rsidP="00843755">
      <w:pPr>
        <w:pStyle w:val="Akapitzlist"/>
        <w:spacing w:after="0"/>
        <w:jc w:val="both"/>
        <w:rPr>
          <w:rFonts w:ascii="GE Inspira" w:hAnsi="GE Inspira"/>
        </w:rPr>
      </w:pP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483"/>
        <w:gridCol w:w="1558"/>
        <w:gridCol w:w="1385"/>
        <w:gridCol w:w="2598"/>
      </w:tblGrid>
      <w:tr w:rsidR="00843755" w:rsidTr="00843755">
        <w:trPr>
          <w:trHeight w:val="1000"/>
        </w:trPr>
        <w:tc>
          <w:tcPr>
            <w:tcW w:w="92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ascii="GE Inspira" w:hAnsi="GE Inspira" w:cs="Arial"/>
                <w:color w:val="000000"/>
              </w:rPr>
            </w:pPr>
            <w:r>
              <w:rPr>
                <w:rFonts w:cs="Arial"/>
                <w:color w:val="000000"/>
              </w:rPr>
              <w:t>57d</w:t>
            </w:r>
          </w:p>
        </w:tc>
        <w:tc>
          <w:tcPr>
            <w:tcW w:w="3483" w:type="dxa"/>
            <w:tcBorders>
              <w:top w:val="single" w:sz="4" w:space="0" w:color="auto"/>
              <w:left w:val="single" w:sz="4" w:space="0" w:color="auto"/>
              <w:bottom w:val="single" w:sz="4" w:space="0" w:color="auto"/>
              <w:right w:val="single" w:sz="4" w:space="0" w:color="auto"/>
            </w:tcBorders>
            <w:hideMark/>
          </w:tcPr>
          <w:p w:rsidR="00843755" w:rsidRDefault="00843755">
            <w:pPr>
              <w:spacing w:line="240" w:lineRule="exact"/>
              <w:ind w:left="34"/>
              <w:jc w:val="both"/>
              <w:rPr>
                <w:rFonts w:eastAsia="Times" w:cs="Tahoma"/>
              </w:rPr>
            </w:pPr>
            <w:r>
              <w:rPr>
                <w:rFonts w:cs="Tahoma"/>
              </w:rPr>
              <w:t>Automatyczna segmentacja następujących struktur anatomicznych w obszarze miednicy:</w:t>
            </w:r>
          </w:p>
          <w:p w:rsidR="00843755" w:rsidRDefault="00843755" w:rsidP="00843755">
            <w:pPr>
              <w:pStyle w:val="ListParagraph2"/>
              <w:numPr>
                <w:ilvl w:val="0"/>
                <w:numId w:val="15"/>
              </w:numPr>
              <w:jc w:val="both"/>
              <w:rPr>
                <w:rFonts w:ascii="GE Inspira" w:hAnsi="GE Inspira" w:cs="Tahoma"/>
                <w:color w:val="000000"/>
                <w:sz w:val="22"/>
                <w:szCs w:val="22"/>
                <w:lang w:eastAsia="en-US"/>
              </w:rPr>
            </w:pPr>
            <w:r>
              <w:rPr>
                <w:rFonts w:ascii="GE Inspira" w:hAnsi="GE Inspira" w:cs="Tahoma"/>
                <w:color w:val="000000"/>
                <w:sz w:val="22"/>
                <w:szCs w:val="22"/>
              </w:rPr>
              <w:t>Odbyt</w:t>
            </w:r>
          </w:p>
          <w:p w:rsidR="00843755" w:rsidRDefault="00843755" w:rsidP="00843755">
            <w:pPr>
              <w:pStyle w:val="ListParagraph2"/>
              <w:numPr>
                <w:ilvl w:val="0"/>
                <w:numId w:val="15"/>
              </w:numPr>
              <w:jc w:val="both"/>
              <w:rPr>
                <w:rFonts w:ascii="GE Inspira" w:hAnsi="GE Inspira" w:cs="Tahoma"/>
                <w:color w:val="000000"/>
                <w:sz w:val="22"/>
                <w:szCs w:val="22"/>
                <w:lang w:eastAsia="en-US"/>
              </w:rPr>
            </w:pPr>
            <w:r>
              <w:rPr>
                <w:rFonts w:ascii="GE Inspira" w:hAnsi="GE Inspira" w:cs="Tahoma"/>
                <w:color w:val="000000"/>
                <w:sz w:val="22"/>
                <w:szCs w:val="22"/>
              </w:rPr>
              <w:t>Odbytnica</w:t>
            </w:r>
          </w:p>
          <w:p w:rsidR="00843755" w:rsidRDefault="00843755" w:rsidP="00843755">
            <w:pPr>
              <w:pStyle w:val="ListParagraph2"/>
              <w:numPr>
                <w:ilvl w:val="0"/>
                <w:numId w:val="15"/>
              </w:numPr>
              <w:jc w:val="both"/>
              <w:rPr>
                <w:rFonts w:ascii="GE Inspira" w:hAnsi="GE Inspira" w:cs="Tahoma"/>
                <w:color w:val="000000"/>
                <w:sz w:val="22"/>
                <w:szCs w:val="22"/>
                <w:lang w:eastAsia="en-US"/>
              </w:rPr>
            </w:pPr>
            <w:r>
              <w:rPr>
                <w:rFonts w:ascii="GE Inspira" w:hAnsi="GE Inspira" w:cs="Tahoma"/>
                <w:color w:val="000000"/>
                <w:sz w:val="22"/>
                <w:szCs w:val="22"/>
              </w:rPr>
              <w:t>Esica</w:t>
            </w:r>
          </w:p>
          <w:p w:rsidR="00843755" w:rsidRDefault="00843755" w:rsidP="00843755">
            <w:pPr>
              <w:pStyle w:val="ListParagraph2"/>
              <w:numPr>
                <w:ilvl w:val="0"/>
                <w:numId w:val="15"/>
              </w:numPr>
              <w:jc w:val="both"/>
              <w:rPr>
                <w:rFonts w:ascii="GE Inspira" w:hAnsi="GE Inspira" w:cs="Tahoma"/>
                <w:color w:val="000000"/>
                <w:sz w:val="22"/>
                <w:szCs w:val="22"/>
                <w:lang w:eastAsia="en-US"/>
              </w:rPr>
            </w:pPr>
            <w:r>
              <w:rPr>
                <w:rFonts w:ascii="GE Inspira" w:hAnsi="GE Inspira" w:cs="Tahoma"/>
                <w:color w:val="000000"/>
                <w:sz w:val="22"/>
                <w:szCs w:val="22"/>
              </w:rPr>
              <w:t>Pęcherz moczowy</w:t>
            </w:r>
          </w:p>
          <w:p w:rsidR="00843755" w:rsidRDefault="00843755" w:rsidP="00843755">
            <w:pPr>
              <w:pStyle w:val="ListParagraph2"/>
              <w:numPr>
                <w:ilvl w:val="0"/>
                <w:numId w:val="15"/>
              </w:numPr>
              <w:jc w:val="both"/>
              <w:rPr>
                <w:rFonts w:ascii="GE Inspira" w:hAnsi="GE Inspira" w:cs="Tahoma"/>
                <w:color w:val="000000"/>
                <w:sz w:val="22"/>
                <w:szCs w:val="22"/>
                <w:lang w:eastAsia="en-US"/>
              </w:rPr>
            </w:pPr>
            <w:r>
              <w:rPr>
                <w:rFonts w:ascii="GE Inspira" w:hAnsi="GE Inspira" w:cs="Tahoma"/>
                <w:color w:val="000000"/>
                <w:sz w:val="22"/>
                <w:szCs w:val="22"/>
              </w:rPr>
              <w:lastRenderedPageBreak/>
              <w:t>Okrężnica</w:t>
            </w:r>
          </w:p>
          <w:p w:rsidR="00843755" w:rsidRDefault="00843755" w:rsidP="00843755">
            <w:pPr>
              <w:pStyle w:val="ListParagraph2"/>
              <w:numPr>
                <w:ilvl w:val="0"/>
                <w:numId w:val="15"/>
              </w:numPr>
              <w:jc w:val="both"/>
              <w:rPr>
                <w:rFonts w:ascii="GE Inspira" w:hAnsi="GE Inspira" w:cs="Tahoma"/>
                <w:color w:val="000000"/>
                <w:sz w:val="22"/>
                <w:szCs w:val="22"/>
                <w:lang w:eastAsia="en-US"/>
              </w:rPr>
            </w:pPr>
            <w:r>
              <w:rPr>
                <w:rFonts w:ascii="GE Inspira" w:hAnsi="GE Inspira" w:cs="Tahoma"/>
                <w:color w:val="000000"/>
                <w:sz w:val="22"/>
                <w:szCs w:val="22"/>
              </w:rPr>
              <w:t>Głowa kości udowej lewa</w:t>
            </w:r>
          </w:p>
          <w:p w:rsidR="00843755" w:rsidRDefault="00843755" w:rsidP="00843755">
            <w:pPr>
              <w:pStyle w:val="ListParagraph2"/>
              <w:numPr>
                <w:ilvl w:val="0"/>
                <w:numId w:val="15"/>
              </w:numPr>
              <w:jc w:val="both"/>
              <w:rPr>
                <w:rFonts w:ascii="GE Inspira" w:hAnsi="GE Inspira" w:cs="Tahoma"/>
                <w:color w:val="000000"/>
                <w:sz w:val="22"/>
                <w:szCs w:val="22"/>
                <w:lang w:eastAsia="en-US"/>
              </w:rPr>
            </w:pPr>
            <w:r>
              <w:rPr>
                <w:rFonts w:ascii="GE Inspira" w:hAnsi="GE Inspira" w:cs="Tahoma"/>
                <w:color w:val="000000"/>
                <w:sz w:val="22"/>
                <w:szCs w:val="22"/>
              </w:rPr>
              <w:t>Głowa kości udowej prawa</w:t>
            </w:r>
          </w:p>
          <w:p w:rsidR="00843755" w:rsidRDefault="00843755" w:rsidP="00843755">
            <w:pPr>
              <w:pStyle w:val="ListParagraph2"/>
              <w:numPr>
                <w:ilvl w:val="0"/>
                <w:numId w:val="15"/>
              </w:numPr>
              <w:jc w:val="both"/>
              <w:rPr>
                <w:rFonts w:ascii="GE Inspira" w:hAnsi="GE Inspira" w:cs="Tahoma"/>
                <w:color w:val="000000"/>
                <w:sz w:val="22"/>
                <w:szCs w:val="22"/>
                <w:lang w:eastAsia="en-US"/>
              </w:rPr>
            </w:pPr>
            <w:r>
              <w:rPr>
                <w:rFonts w:ascii="GE Inspira" w:hAnsi="GE Inspira" w:cs="Tahoma"/>
                <w:color w:val="000000"/>
                <w:sz w:val="22"/>
                <w:szCs w:val="22"/>
              </w:rPr>
              <w:t>Jajniki</w:t>
            </w:r>
          </w:p>
          <w:p w:rsidR="00843755" w:rsidRDefault="00843755" w:rsidP="00843755">
            <w:pPr>
              <w:pStyle w:val="ListParagraph2"/>
              <w:numPr>
                <w:ilvl w:val="0"/>
                <w:numId w:val="15"/>
              </w:numPr>
              <w:jc w:val="both"/>
              <w:rPr>
                <w:rFonts w:ascii="GE Inspira" w:hAnsi="GE Inspira" w:cs="Tahoma"/>
                <w:color w:val="000000"/>
                <w:sz w:val="22"/>
                <w:szCs w:val="22"/>
                <w:lang w:eastAsia="en-US"/>
              </w:rPr>
            </w:pPr>
            <w:r>
              <w:rPr>
                <w:rFonts w:ascii="GE Inspira" w:hAnsi="GE Inspira" w:cs="Tahoma"/>
                <w:color w:val="000000"/>
                <w:sz w:val="22"/>
                <w:szCs w:val="22"/>
              </w:rPr>
              <w:t>Jajowody</w:t>
            </w:r>
          </w:p>
          <w:p w:rsidR="00843755" w:rsidRDefault="00843755" w:rsidP="00843755">
            <w:pPr>
              <w:pStyle w:val="ListParagraph2"/>
              <w:numPr>
                <w:ilvl w:val="0"/>
                <w:numId w:val="15"/>
              </w:numPr>
              <w:jc w:val="both"/>
              <w:rPr>
                <w:rFonts w:ascii="GE Inspira" w:hAnsi="GE Inspira" w:cs="Tahoma"/>
                <w:color w:val="000000"/>
                <w:sz w:val="22"/>
                <w:szCs w:val="22"/>
                <w:lang w:eastAsia="en-US"/>
              </w:rPr>
            </w:pPr>
            <w:r>
              <w:rPr>
                <w:rFonts w:ascii="GE Inspira" w:hAnsi="GE Inspira" w:cs="Tahoma"/>
                <w:color w:val="000000"/>
                <w:sz w:val="22"/>
                <w:szCs w:val="22"/>
              </w:rPr>
              <w:t>Opuszka prącia</w:t>
            </w:r>
          </w:p>
          <w:p w:rsidR="00843755" w:rsidRDefault="00843755" w:rsidP="00843755">
            <w:pPr>
              <w:pStyle w:val="ListParagraph2"/>
              <w:numPr>
                <w:ilvl w:val="0"/>
                <w:numId w:val="15"/>
              </w:numPr>
              <w:jc w:val="both"/>
              <w:rPr>
                <w:rFonts w:ascii="GE Inspira" w:hAnsi="GE Inspira" w:cs="Tahoma"/>
                <w:color w:val="000000"/>
                <w:sz w:val="22"/>
                <w:szCs w:val="22"/>
                <w:lang w:eastAsia="en-US"/>
              </w:rPr>
            </w:pPr>
            <w:r>
              <w:rPr>
                <w:rFonts w:ascii="GE Inspira" w:hAnsi="GE Inspira" w:cs="Tahoma"/>
                <w:color w:val="000000"/>
                <w:sz w:val="22"/>
                <w:szCs w:val="22"/>
              </w:rPr>
              <w:t>Gruczoł krokowy</w:t>
            </w:r>
          </w:p>
          <w:p w:rsidR="00843755" w:rsidRDefault="00843755" w:rsidP="00843755">
            <w:pPr>
              <w:pStyle w:val="ListParagraph2"/>
              <w:numPr>
                <w:ilvl w:val="0"/>
                <w:numId w:val="15"/>
              </w:numPr>
              <w:jc w:val="both"/>
              <w:rPr>
                <w:rFonts w:ascii="GE Inspira" w:hAnsi="GE Inspira" w:cs="Tahoma"/>
                <w:color w:val="000000"/>
                <w:sz w:val="22"/>
                <w:szCs w:val="22"/>
                <w:lang w:eastAsia="en-US"/>
              </w:rPr>
            </w:pPr>
            <w:r>
              <w:rPr>
                <w:rFonts w:ascii="GE Inspira" w:hAnsi="GE Inspira" w:cs="Tahoma"/>
                <w:color w:val="000000"/>
                <w:sz w:val="22"/>
                <w:szCs w:val="22"/>
              </w:rPr>
              <w:t>Odbytnica</w:t>
            </w:r>
          </w:p>
          <w:p w:rsidR="00843755" w:rsidRDefault="00843755" w:rsidP="00843755">
            <w:pPr>
              <w:pStyle w:val="ListParagraph2"/>
              <w:numPr>
                <w:ilvl w:val="0"/>
                <w:numId w:val="15"/>
              </w:numPr>
              <w:jc w:val="both"/>
              <w:rPr>
                <w:rFonts w:ascii="GE Inspira" w:hAnsi="GE Inspira" w:cs="Tahoma"/>
                <w:color w:val="000000"/>
                <w:sz w:val="22"/>
                <w:szCs w:val="22"/>
                <w:lang w:eastAsia="en-US"/>
              </w:rPr>
            </w:pPr>
            <w:r>
              <w:rPr>
                <w:rFonts w:ascii="GE Inspira" w:hAnsi="GE Inspira" w:cs="Tahoma"/>
                <w:color w:val="000000"/>
                <w:sz w:val="22"/>
                <w:szCs w:val="22"/>
              </w:rPr>
              <w:t>Pęcherzyki nasienne</w:t>
            </w:r>
          </w:p>
          <w:p w:rsidR="00843755" w:rsidRDefault="00843755" w:rsidP="00843755">
            <w:pPr>
              <w:numPr>
                <w:ilvl w:val="0"/>
                <w:numId w:val="15"/>
              </w:numPr>
              <w:suppressAutoHyphens w:val="0"/>
              <w:spacing w:line="240" w:lineRule="exact"/>
              <w:jc w:val="both"/>
              <w:rPr>
                <w:rFonts w:ascii="GE Inspira" w:hAnsi="GE Inspira" w:cs="Tahoma"/>
                <w:sz w:val="22"/>
                <w:szCs w:val="22"/>
                <w:lang w:eastAsia="en-US"/>
              </w:rPr>
            </w:pPr>
            <w:r>
              <w:rPr>
                <w:rFonts w:cs="Tahoma"/>
                <w:color w:val="000000"/>
              </w:rPr>
              <w:t>Macica + szyjka</w:t>
            </w:r>
            <w:r>
              <w:rPr>
                <w:rFonts w:cs="Tahoma"/>
              </w:rPr>
              <w:t>.</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lastRenderedPageBreak/>
              <w:t>TAK/NIE</w:t>
            </w:r>
          </w:p>
        </w:tc>
        <w:tc>
          <w:tcPr>
            <w:tcW w:w="1385"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i/>
                <w:iCs/>
                <w:color w:val="C0504D"/>
              </w:rPr>
            </w:pPr>
            <w:r>
              <w:rPr>
                <w:rFonts w:cs="Arial"/>
                <w:i/>
                <w:iCs/>
                <w:color w:val="C0504D"/>
              </w:rPr>
              <w:t> </w:t>
            </w:r>
          </w:p>
        </w:tc>
        <w:tc>
          <w:tcPr>
            <w:tcW w:w="2598"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TAK – 7 pkt</w:t>
            </w:r>
          </w:p>
          <w:p w:rsidR="00843755" w:rsidRDefault="00843755">
            <w:pPr>
              <w:jc w:val="both"/>
              <w:rPr>
                <w:rFonts w:cs="Arial"/>
                <w:color w:val="000000"/>
              </w:rPr>
            </w:pPr>
            <w:r>
              <w:rPr>
                <w:rFonts w:cs="Arial"/>
                <w:color w:val="000000"/>
              </w:rPr>
              <w:t>NIE – 0 pkt</w:t>
            </w:r>
          </w:p>
        </w:tc>
      </w:tr>
    </w:tbl>
    <w:p w:rsidR="00843755" w:rsidRDefault="00843755" w:rsidP="00843755">
      <w:pPr>
        <w:jc w:val="both"/>
        <w:rPr>
          <w:b/>
        </w:rPr>
      </w:pPr>
    </w:p>
    <w:p w:rsidR="00843755" w:rsidRDefault="00843755" w:rsidP="00843755">
      <w:pPr>
        <w:numPr>
          <w:ilvl w:val="0"/>
          <w:numId w:val="12"/>
        </w:numPr>
        <w:suppressAutoHyphens w:val="0"/>
        <w:spacing w:line="280" w:lineRule="exact"/>
        <w:jc w:val="both"/>
        <w:rPr>
          <w:b/>
        </w:rPr>
      </w:pPr>
      <w:r>
        <w:rPr>
          <w:b/>
        </w:rPr>
        <w:t>Dotyczy załącznika nr 1 do SIWZ, w części CT, pkt 16 tabeli opisu tomografu komputerowego dedykowanego do planowania radioterapii (symulator TK).</w:t>
      </w:r>
    </w:p>
    <w:p w:rsidR="00843755" w:rsidRDefault="00843755" w:rsidP="00843755">
      <w:pPr>
        <w:jc w:val="both"/>
      </w:pPr>
      <w:r>
        <w:t>Czy Zamawiający wyprostuje oczywista omyłkę i poprawi nieciągłość w aktualnej punktacji w tym parametrze na:</w:t>
      </w:r>
    </w:p>
    <w:p w:rsidR="00843755" w:rsidRDefault="00843755" w:rsidP="00843755">
      <w:pPr>
        <w:jc w:val="both"/>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0"/>
        <w:gridCol w:w="2696"/>
        <w:gridCol w:w="1984"/>
        <w:gridCol w:w="1134"/>
        <w:gridCol w:w="2552"/>
      </w:tblGrid>
      <w:tr w:rsidR="00843755" w:rsidTr="00843755">
        <w:trPr>
          <w:trHeight w:val="1059"/>
        </w:trPr>
        <w:tc>
          <w:tcPr>
            <w:tcW w:w="98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lang w:val="en-US"/>
              </w:rPr>
            </w:pPr>
            <w:r>
              <w:rPr>
                <w:rFonts w:cs="Arial"/>
                <w:color w:val="000000"/>
              </w:rPr>
              <w:t>15</w:t>
            </w:r>
          </w:p>
        </w:tc>
        <w:tc>
          <w:tcPr>
            <w:tcW w:w="2696"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 xml:space="preserve">Zakres napięcia anodowego min. 80-135 </w:t>
            </w:r>
            <w:proofErr w:type="spellStart"/>
            <w:r>
              <w:rPr>
                <w:rFonts w:cs="Arial"/>
                <w:color w:val="000000"/>
              </w:rPr>
              <w:t>kV</w:t>
            </w:r>
            <w:proofErr w:type="spellEnd"/>
          </w:p>
        </w:tc>
        <w:tc>
          <w:tcPr>
            <w:tcW w:w="198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lang w:val="en-US"/>
              </w:rPr>
            </w:pPr>
            <w:r>
              <w:rPr>
                <w:rFonts w:cs="Arial"/>
                <w:color w:val="000000"/>
              </w:rPr>
              <w:t>TAK, podać</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 </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 xml:space="preserve">zakres =80-135 </w:t>
            </w:r>
            <w:proofErr w:type="spellStart"/>
            <w:r>
              <w:rPr>
                <w:rFonts w:cs="Arial"/>
                <w:color w:val="000000"/>
              </w:rPr>
              <w:t>kV</w:t>
            </w:r>
            <w:proofErr w:type="spellEnd"/>
            <w:r>
              <w:rPr>
                <w:rFonts w:cs="Arial"/>
                <w:color w:val="000000"/>
              </w:rPr>
              <w:t xml:space="preserve"> - 0 pkt</w:t>
            </w:r>
          </w:p>
          <w:p w:rsidR="00843755" w:rsidRDefault="00843755">
            <w:pPr>
              <w:jc w:val="both"/>
              <w:rPr>
                <w:rFonts w:cs="Arial"/>
                <w:color w:val="000000"/>
              </w:rPr>
            </w:pPr>
            <w:r>
              <w:rPr>
                <w:rFonts w:cs="Arial"/>
                <w:color w:val="000000"/>
              </w:rPr>
              <w:t xml:space="preserve">zakres &gt; 80-135 </w:t>
            </w:r>
            <w:proofErr w:type="spellStart"/>
            <w:r>
              <w:rPr>
                <w:rFonts w:cs="Arial"/>
                <w:color w:val="000000"/>
              </w:rPr>
              <w:t>kV</w:t>
            </w:r>
            <w:proofErr w:type="spellEnd"/>
            <w:r>
              <w:rPr>
                <w:rFonts w:cs="Arial"/>
                <w:color w:val="000000"/>
              </w:rPr>
              <w:t xml:space="preserve"> - 2 pkt</w:t>
            </w:r>
          </w:p>
        </w:tc>
      </w:tr>
    </w:tbl>
    <w:p w:rsidR="00843755" w:rsidRDefault="00843755" w:rsidP="00843755">
      <w:pPr>
        <w:jc w:val="both"/>
      </w:pPr>
    </w:p>
    <w:p w:rsidR="00843755" w:rsidRDefault="00843755" w:rsidP="00843755">
      <w:pPr>
        <w:numPr>
          <w:ilvl w:val="0"/>
          <w:numId w:val="12"/>
        </w:numPr>
        <w:suppressAutoHyphens w:val="0"/>
        <w:spacing w:line="280" w:lineRule="exact"/>
        <w:jc w:val="both"/>
        <w:rPr>
          <w:b/>
        </w:rPr>
      </w:pPr>
      <w:r>
        <w:rPr>
          <w:b/>
        </w:rPr>
        <w:t>Dotyczy załącznika nr 1 do SIWZ, w części CT, pkt 7 tabeli opisu tomografu komputerowego dedykowanego do planowania radioterapii (symulator TK).</w:t>
      </w:r>
    </w:p>
    <w:p w:rsidR="00843755" w:rsidRDefault="00843755" w:rsidP="00843755">
      <w:pPr>
        <w:pStyle w:val="Zwykytekst"/>
        <w:jc w:val="both"/>
        <w:rPr>
          <w:rFonts w:ascii="GE Inspira" w:hAnsi="GE Inspira"/>
          <w:bCs/>
        </w:rPr>
      </w:pPr>
      <w:r>
        <w:rPr>
          <w:rFonts w:ascii="GE Inspira" w:hAnsi="GE Inspira"/>
        </w:rPr>
        <w:t>Jednym z podstawowych obowiązków w radioterapii jest minimalizacja dawki na jaką musi zostać narażony pacjent w procesie leczenia. Pragniemy zauważyć, że jednym ze sposobów minimalizacji tej dawki jest minimalizacja</w:t>
      </w:r>
      <w:r>
        <w:rPr>
          <w:rFonts w:ascii="GE Inspira" w:hAnsi="GE Inspira"/>
          <w:bCs/>
        </w:rPr>
        <w:t xml:space="preserve"> odległości pomiędzy lampą a detektorem w tomografie. Im mniejsza odległość tym więcej sygnału otrzymujemy na detektorze a tym samym mniej promieniowania musimy wyemitować, co przekłada się na niższą dawkę promieniowania dla pacjenta.</w:t>
      </w:r>
    </w:p>
    <w:p w:rsidR="00843755" w:rsidRDefault="00843755" w:rsidP="00843755">
      <w:pPr>
        <w:jc w:val="both"/>
      </w:pPr>
      <w:r>
        <w:t xml:space="preserve">Mając na uwadze powyższe prosimy o wprowadzenie punktacji </w:t>
      </w:r>
    </w:p>
    <w:p w:rsidR="00843755" w:rsidRDefault="00843755" w:rsidP="00843755">
      <w:pPr>
        <w:jc w:val="both"/>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2693"/>
        <w:gridCol w:w="1984"/>
        <w:gridCol w:w="1134"/>
        <w:gridCol w:w="2552"/>
      </w:tblGrid>
      <w:tr w:rsidR="00843755" w:rsidTr="00843755">
        <w:trPr>
          <w:trHeight w:val="450"/>
        </w:trPr>
        <w:tc>
          <w:tcPr>
            <w:tcW w:w="99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lang w:val="en-US"/>
              </w:rPr>
            </w:pPr>
            <w:r>
              <w:rPr>
                <w:rFonts w:cs="Arial"/>
                <w:color w:val="000000"/>
              </w:rPr>
              <w:t>7a</w:t>
            </w:r>
          </w:p>
        </w:tc>
        <w:tc>
          <w:tcPr>
            <w:tcW w:w="269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 xml:space="preserve">Odległość ognisko lampa – detektor </w:t>
            </w:r>
          </w:p>
        </w:tc>
        <w:tc>
          <w:tcPr>
            <w:tcW w:w="198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 xml:space="preserve">Tak, podać  </w:t>
            </w:r>
          </w:p>
        </w:tc>
        <w:tc>
          <w:tcPr>
            <w:tcW w:w="1134" w:type="dxa"/>
            <w:tcBorders>
              <w:top w:val="single" w:sz="4" w:space="0" w:color="auto"/>
              <w:left w:val="single" w:sz="4" w:space="0" w:color="auto"/>
              <w:bottom w:val="single" w:sz="4" w:space="0" w:color="auto"/>
              <w:right w:val="single" w:sz="4" w:space="0" w:color="auto"/>
            </w:tcBorders>
            <w:vAlign w:val="center"/>
          </w:tcPr>
          <w:p w:rsidR="00843755" w:rsidRDefault="00843755">
            <w:pPr>
              <w:jc w:val="both"/>
              <w:rPr>
                <w:rFonts w:cs="Arial"/>
                <w:color w:val="00000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 108,5 mm - 0 pkt.</w:t>
            </w:r>
          </w:p>
          <w:p w:rsidR="00843755" w:rsidRDefault="00843755">
            <w:pPr>
              <w:jc w:val="both"/>
              <w:rPr>
                <w:rFonts w:cs="Arial"/>
                <w:color w:val="000000"/>
              </w:rPr>
            </w:pPr>
            <w:r>
              <w:rPr>
                <w:rFonts w:cs="Arial"/>
                <w:color w:val="000000"/>
              </w:rPr>
              <w:t>&lt; 108,5 mm - 2 pkt.</w:t>
            </w:r>
          </w:p>
          <w:p w:rsidR="00843755" w:rsidRDefault="00843755">
            <w:pPr>
              <w:jc w:val="both"/>
              <w:rPr>
                <w:rFonts w:cs="Arial"/>
                <w:color w:val="000000"/>
              </w:rPr>
            </w:pPr>
            <w:r>
              <w:rPr>
                <w:rFonts w:cs="Arial"/>
                <w:color w:val="000000"/>
              </w:rPr>
              <w:t>&lt; 106,5 mm - 4 pkt.</w:t>
            </w:r>
          </w:p>
        </w:tc>
      </w:tr>
    </w:tbl>
    <w:p w:rsidR="00843755" w:rsidRDefault="00843755" w:rsidP="00843755">
      <w:pPr>
        <w:jc w:val="both"/>
        <w:rPr>
          <w:rFonts w:ascii="GE Inspira" w:eastAsia="Times" w:hAnsi="GE Inspira"/>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CT, pkt 40 tabeli opisu tomografu komputerowego dedykowanego do planowania radioterapii (symulator TK).</w:t>
      </w:r>
    </w:p>
    <w:p w:rsidR="00843755" w:rsidRDefault="00843755" w:rsidP="00843755">
      <w:pPr>
        <w:jc w:val="both"/>
      </w:pPr>
      <w:r>
        <w:t xml:space="preserve">Jednym z podstawowych obowiązków w radioterapii jest minimalizacja dawki na jaką musi zostać narażony pacjent w procesie leczenia. Czy mając na uwadze bezpieczeństwo pacjenta Zamawiający zechciałby wprowadzić punktację za jak najniższe narażenie pacjenta na promieniowanie w tomografii </w:t>
      </w:r>
      <w:proofErr w:type="spellStart"/>
      <w:r>
        <w:t>tj</w:t>
      </w:r>
      <w:proofErr w:type="spellEnd"/>
      <w:r>
        <w:t xml:space="preserve"> jest wprowadzić poniższy zapis?</w:t>
      </w:r>
    </w:p>
    <w:p w:rsidR="00843755" w:rsidRDefault="00843755" w:rsidP="00843755">
      <w:pPr>
        <w:jc w:val="both"/>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2693"/>
        <w:gridCol w:w="1984"/>
        <w:gridCol w:w="1134"/>
        <w:gridCol w:w="2552"/>
      </w:tblGrid>
      <w:tr w:rsidR="00843755" w:rsidTr="00843755">
        <w:trPr>
          <w:trHeight w:val="675"/>
        </w:trPr>
        <w:tc>
          <w:tcPr>
            <w:tcW w:w="99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lang w:val="en-US"/>
              </w:rPr>
            </w:pPr>
            <w:r>
              <w:rPr>
                <w:rFonts w:cs="Arial"/>
                <w:color w:val="000000"/>
              </w:rPr>
              <w:t>40a</w:t>
            </w:r>
          </w:p>
        </w:tc>
        <w:tc>
          <w:tcPr>
            <w:tcW w:w="269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 xml:space="preserve">Dawka dla rozdzielczości </w:t>
            </w:r>
            <w:proofErr w:type="spellStart"/>
            <w:r>
              <w:rPr>
                <w:rFonts w:cs="Arial"/>
                <w:color w:val="000000"/>
              </w:rPr>
              <w:t>niskokontrastowej</w:t>
            </w:r>
            <w:proofErr w:type="spellEnd"/>
            <w:r>
              <w:rPr>
                <w:rFonts w:cs="Arial"/>
                <w:color w:val="000000"/>
              </w:rPr>
              <w:t xml:space="preserve"> 5 mm mierzona dla fantomu CATPHAN określona dla warstwy 10mm </w:t>
            </w:r>
          </w:p>
        </w:tc>
        <w:tc>
          <w:tcPr>
            <w:tcW w:w="198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lang w:val="en-US"/>
              </w:rPr>
            </w:pPr>
            <w:r>
              <w:rPr>
                <w:rFonts w:cs="Arial"/>
                <w:color w:val="000000"/>
              </w:rPr>
              <w:t>Tak, podać</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43755" w:rsidRDefault="00843755">
            <w:pPr>
              <w:jc w:val="both"/>
              <w:rPr>
                <w:rFonts w:cs="Arial"/>
                <w:color w:val="00000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 xml:space="preserve">&gt;6 </w:t>
            </w:r>
            <w:proofErr w:type="spellStart"/>
            <w:r>
              <w:rPr>
                <w:rFonts w:cs="Arial"/>
                <w:color w:val="000000"/>
              </w:rPr>
              <w:t>mGy</w:t>
            </w:r>
            <w:proofErr w:type="spellEnd"/>
            <w:r>
              <w:rPr>
                <w:rFonts w:cs="Arial"/>
                <w:color w:val="000000"/>
              </w:rPr>
              <w:t>- 0 pkt.</w:t>
            </w:r>
          </w:p>
          <w:p w:rsidR="00843755" w:rsidRDefault="00843755">
            <w:pPr>
              <w:jc w:val="both"/>
              <w:rPr>
                <w:rFonts w:cs="Arial"/>
                <w:color w:val="000000"/>
              </w:rPr>
            </w:pPr>
            <w:r>
              <w:rPr>
                <w:rFonts w:cs="Arial"/>
                <w:color w:val="000000"/>
              </w:rPr>
              <w:t xml:space="preserve">≤ 6 </w:t>
            </w:r>
            <w:proofErr w:type="spellStart"/>
            <w:r>
              <w:rPr>
                <w:rFonts w:cs="Arial"/>
                <w:color w:val="000000"/>
              </w:rPr>
              <w:t>mGy</w:t>
            </w:r>
            <w:proofErr w:type="spellEnd"/>
            <w:r>
              <w:rPr>
                <w:rFonts w:cs="Arial"/>
                <w:color w:val="000000"/>
              </w:rPr>
              <w:t xml:space="preserve"> - 4 pkt.</w:t>
            </w:r>
          </w:p>
        </w:tc>
      </w:tr>
    </w:tbl>
    <w:p w:rsidR="00843755" w:rsidRDefault="00843755" w:rsidP="00843755">
      <w:pPr>
        <w:jc w:val="both"/>
        <w:rPr>
          <w:rFonts w:ascii="GE Inspira" w:hAnsi="GE Inspira" w:cs="Arial"/>
          <w:color w:val="000000"/>
          <w:kern w:val="8"/>
          <w:sz w:val="22"/>
          <w:szCs w:val="22"/>
          <w:lang w:val="en-US" w:eastAsia="en-US"/>
        </w:rPr>
      </w:pPr>
    </w:p>
    <w:p w:rsidR="00843755" w:rsidRDefault="00843755" w:rsidP="00843755">
      <w:pPr>
        <w:pStyle w:val="Akapitzlist"/>
        <w:numPr>
          <w:ilvl w:val="0"/>
          <w:numId w:val="12"/>
        </w:numPr>
        <w:spacing w:before="120" w:after="120" w:line="360" w:lineRule="auto"/>
        <w:rPr>
          <w:rFonts w:ascii="GE Inspira" w:hAnsi="GE Inspira"/>
          <w:b/>
        </w:rPr>
      </w:pPr>
      <w:r>
        <w:rPr>
          <w:rFonts w:ascii="GE Inspira" w:hAnsi="GE Inspira"/>
          <w:b/>
        </w:rPr>
        <w:t>Zamawiający w Załączniku_Nr_1_-_Oferta Techniczna_30-05-2018_10.26.25, w części dotyczącej MR, w punkcie 220, wymaga zaoferowania:</w:t>
      </w:r>
    </w:p>
    <w:p w:rsidR="00843755" w:rsidRDefault="00843755" w:rsidP="00843755">
      <w:pPr>
        <w:pStyle w:val="Akapitzlist"/>
        <w:ind w:left="360"/>
        <w:rPr>
          <w:rFonts w:ascii="GE Inspira" w:hAnsi="GE Inspira"/>
        </w:rPr>
      </w:pPr>
      <w:r>
        <w:rPr>
          <w:rFonts w:ascii="GE Inspira" w:hAnsi="GE Inspira"/>
        </w:rPr>
        <w:lastRenderedPageBreak/>
        <w:t xml:space="preserve">„Pakietu oprogramowania do multimodalnego konturowania guza i narządów krytycznych. </w:t>
      </w:r>
    </w:p>
    <w:p w:rsidR="00843755" w:rsidRDefault="00843755" w:rsidP="00843755">
      <w:pPr>
        <w:pStyle w:val="Akapitzlist"/>
        <w:ind w:left="360"/>
        <w:rPr>
          <w:rFonts w:ascii="GE Inspira" w:hAnsi="GE Inspira"/>
        </w:rPr>
      </w:pPr>
      <w:r>
        <w:rPr>
          <w:rFonts w:ascii="GE Inspira" w:hAnsi="GE Inspira"/>
        </w:rPr>
        <w:t>Oprogramowanie powinno umożliwiać:</w:t>
      </w:r>
    </w:p>
    <w:p w:rsidR="00843755" w:rsidRDefault="00843755" w:rsidP="00843755">
      <w:pPr>
        <w:pStyle w:val="Akapitzlist"/>
        <w:ind w:left="360"/>
        <w:rPr>
          <w:rFonts w:ascii="GE Inspira" w:hAnsi="GE Inspira"/>
        </w:rPr>
      </w:pPr>
      <w:r>
        <w:rPr>
          <w:rFonts w:ascii="GE Inspira" w:hAnsi="GE Inspira"/>
        </w:rPr>
        <w:t>• możliwość konturowania w oparciu o badania CT, MR, PET, PET/CT, 4D CT równolegle na wielu zestawach danych</w:t>
      </w:r>
    </w:p>
    <w:p w:rsidR="00843755" w:rsidRDefault="00843755" w:rsidP="00843755">
      <w:pPr>
        <w:pStyle w:val="Akapitzlist"/>
        <w:ind w:left="360"/>
        <w:rPr>
          <w:rFonts w:ascii="GE Inspira" w:hAnsi="GE Inspira"/>
        </w:rPr>
      </w:pPr>
      <w:r>
        <w:rPr>
          <w:rFonts w:ascii="GE Inspira" w:hAnsi="GE Inspira"/>
        </w:rPr>
        <w:t>• dostępność ręcznych i półautomatycznych narzędzi segmentacji, z możliwością konturowania w dowolnych przekrojach</w:t>
      </w:r>
    </w:p>
    <w:p w:rsidR="00843755" w:rsidRDefault="00843755" w:rsidP="00843755">
      <w:pPr>
        <w:pStyle w:val="Akapitzlist"/>
        <w:ind w:left="360"/>
        <w:rPr>
          <w:rFonts w:ascii="GE Inspira" w:hAnsi="GE Inspira"/>
        </w:rPr>
      </w:pPr>
      <w:r>
        <w:rPr>
          <w:rFonts w:ascii="GE Inspira" w:hAnsi="GE Inspira"/>
        </w:rPr>
        <w:t>• kopiowanie/wklejanie konturów pomiędzy zestawami danych, co najmniej z MR do CT, z PET do CT a kontur przypisywany jest do tomografii do planowania</w:t>
      </w:r>
    </w:p>
    <w:p w:rsidR="00843755" w:rsidRDefault="00843755" w:rsidP="00843755">
      <w:pPr>
        <w:pStyle w:val="Akapitzlist"/>
        <w:ind w:left="360"/>
        <w:rPr>
          <w:rFonts w:ascii="GE Inspira" w:hAnsi="GE Inspira"/>
        </w:rPr>
      </w:pPr>
      <w:r>
        <w:rPr>
          <w:rFonts w:ascii="GE Inspira" w:hAnsi="GE Inspira"/>
        </w:rPr>
        <w:t xml:space="preserve">• możliwość konturowania organów wrażliwych, z użyciem funkcji </w:t>
      </w:r>
      <w:proofErr w:type="spellStart"/>
      <w:r>
        <w:rPr>
          <w:rFonts w:ascii="GE Inspira" w:hAnsi="GE Inspira"/>
        </w:rPr>
        <w:t>autokonturowania</w:t>
      </w:r>
      <w:proofErr w:type="spellEnd"/>
      <w:r>
        <w:rPr>
          <w:rFonts w:ascii="GE Inspira" w:hAnsi="GE Inspira"/>
        </w:rPr>
        <w:t xml:space="preserve"> (dla mózgu, serca, płuc, wątroby, nerek, główki kości udowej)</w:t>
      </w:r>
    </w:p>
    <w:p w:rsidR="00843755" w:rsidRDefault="00843755" w:rsidP="00843755">
      <w:pPr>
        <w:pStyle w:val="Akapitzlist"/>
        <w:ind w:left="360"/>
        <w:rPr>
          <w:rFonts w:ascii="GE Inspira" w:hAnsi="GE Inspira"/>
        </w:rPr>
      </w:pPr>
      <w:r>
        <w:rPr>
          <w:rFonts w:ascii="GE Inspira" w:hAnsi="GE Inspira"/>
        </w:rPr>
        <w:t>• fuzja obrazów w oparciu o matrycę prostą oraz deformacyjną</w:t>
      </w:r>
    </w:p>
    <w:p w:rsidR="00843755" w:rsidRDefault="00843755" w:rsidP="00843755">
      <w:pPr>
        <w:pStyle w:val="Akapitzlist"/>
        <w:ind w:left="360"/>
        <w:rPr>
          <w:rFonts w:ascii="GE Inspira" w:hAnsi="GE Inspira"/>
        </w:rPr>
      </w:pPr>
      <w:r>
        <w:rPr>
          <w:rFonts w:ascii="GE Inspira" w:hAnsi="GE Inspira"/>
        </w:rPr>
        <w:t>• możliwość konturowania po odcieniach szarości w badaniach MR oraz po wartościach SUV w badaniach PET</w:t>
      </w:r>
    </w:p>
    <w:p w:rsidR="00843755" w:rsidRDefault="00843755" w:rsidP="00843755">
      <w:pPr>
        <w:pStyle w:val="Akapitzlist"/>
        <w:ind w:left="360"/>
        <w:rPr>
          <w:rFonts w:ascii="GE Inspira" w:hAnsi="GE Inspira"/>
        </w:rPr>
      </w:pPr>
      <w:r>
        <w:rPr>
          <w:rFonts w:ascii="GE Inspira" w:hAnsi="GE Inspira"/>
        </w:rPr>
        <w:t xml:space="preserve">• wyświetlanie do 4 </w:t>
      </w:r>
      <w:proofErr w:type="spellStart"/>
      <w:r>
        <w:rPr>
          <w:rFonts w:ascii="GE Inspira" w:hAnsi="GE Inspira"/>
        </w:rPr>
        <w:t>fuzjowanych</w:t>
      </w:r>
      <w:proofErr w:type="spellEnd"/>
      <w:r>
        <w:rPr>
          <w:rFonts w:ascii="GE Inspira" w:hAnsi="GE Inspira"/>
        </w:rPr>
        <w:t xml:space="preserve"> serii zdjęć równocześnie, co najmniej: PET/CT, MR/CT, CT/CT</w:t>
      </w:r>
    </w:p>
    <w:p w:rsidR="00843755" w:rsidRDefault="00843755" w:rsidP="00843755">
      <w:pPr>
        <w:pStyle w:val="Akapitzlist"/>
        <w:ind w:left="360"/>
        <w:rPr>
          <w:rFonts w:ascii="GE Inspira" w:hAnsi="GE Inspira"/>
        </w:rPr>
      </w:pPr>
      <w:r>
        <w:rPr>
          <w:rFonts w:ascii="GE Inspira" w:hAnsi="GE Inspira"/>
        </w:rPr>
        <w:t>• propagacja konturu z jednej fazy 4D do innych faz oddechowych</w:t>
      </w:r>
    </w:p>
    <w:p w:rsidR="00843755" w:rsidRDefault="00843755" w:rsidP="00843755">
      <w:pPr>
        <w:pStyle w:val="Akapitzlist"/>
        <w:ind w:left="360"/>
        <w:rPr>
          <w:rFonts w:ascii="GE Inspira" w:hAnsi="GE Inspira"/>
        </w:rPr>
      </w:pPr>
      <w:r>
        <w:rPr>
          <w:rFonts w:ascii="GE Inspira" w:hAnsi="GE Inspira"/>
        </w:rPr>
        <w:t>• propagacja struktur pomiędzy badaniami z wykorzystaniem rejestracji deformacyjnej</w:t>
      </w:r>
    </w:p>
    <w:p w:rsidR="00843755" w:rsidRDefault="00843755" w:rsidP="00843755">
      <w:pPr>
        <w:pStyle w:val="Akapitzlist"/>
        <w:ind w:left="360"/>
        <w:rPr>
          <w:rFonts w:ascii="GE Inspira" w:hAnsi="GE Inspira"/>
        </w:rPr>
      </w:pPr>
      <w:r>
        <w:rPr>
          <w:rFonts w:ascii="GE Inspira" w:hAnsi="GE Inspira"/>
        </w:rPr>
        <w:t xml:space="preserve">• tworzenie punktów referencyjnych </w:t>
      </w:r>
    </w:p>
    <w:p w:rsidR="00843755" w:rsidRDefault="00843755" w:rsidP="00843755">
      <w:pPr>
        <w:pStyle w:val="Akapitzlist"/>
        <w:ind w:left="360"/>
        <w:rPr>
          <w:rFonts w:ascii="GE Inspira" w:hAnsi="GE Inspira"/>
        </w:rPr>
      </w:pPr>
      <w:r>
        <w:rPr>
          <w:rFonts w:ascii="GE Inspira" w:hAnsi="GE Inspira"/>
        </w:rPr>
        <w:t>• wyświetlanie dawek terapeutycznych, z wykorzystaniem rejestracji deformacyjnej pomiędzy badaniem bieżącym i poprzednim</w:t>
      </w:r>
    </w:p>
    <w:p w:rsidR="00843755" w:rsidRDefault="00843755" w:rsidP="00843755">
      <w:pPr>
        <w:pStyle w:val="Akapitzlist"/>
        <w:ind w:left="360"/>
        <w:rPr>
          <w:rFonts w:ascii="GE Inspira" w:hAnsi="GE Inspira"/>
        </w:rPr>
      </w:pPr>
      <w:r>
        <w:rPr>
          <w:rFonts w:ascii="GE Inspira" w:hAnsi="GE Inspira"/>
        </w:rPr>
        <w:t>• zgodność z standardem DICOM oraz IHE-RO</w:t>
      </w:r>
    </w:p>
    <w:p w:rsidR="00843755" w:rsidRDefault="00843755" w:rsidP="00843755">
      <w:pPr>
        <w:pStyle w:val="Akapitzlist"/>
        <w:ind w:left="360"/>
        <w:rPr>
          <w:rFonts w:ascii="GE Inspira" w:hAnsi="GE Inspira"/>
        </w:rPr>
      </w:pPr>
      <w:r>
        <w:rPr>
          <w:rFonts w:ascii="GE Inspira" w:hAnsi="GE Inspira"/>
        </w:rPr>
        <w:t>- jednoczesny dostęp na jednej konsoli”</w:t>
      </w:r>
    </w:p>
    <w:p w:rsidR="00843755" w:rsidRDefault="00843755" w:rsidP="00843755">
      <w:pPr>
        <w:pStyle w:val="Akapitzlist"/>
        <w:ind w:left="360"/>
        <w:rPr>
          <w:rFonts w:ascii="GE Inspira" w:hAnsi="GE Inspira"/>
        </w:rPr>
      </w:pPr>
      <w:r>
        <w:rPr>
          <w:rFonts w:ascii="GE Inspira" w:hAnsi="GE Inspira"/>
        </w:rPr>
        <w:t>Tak sformułowane wymaganie uniemożliwia naszej firmie złożenie oferty i eliminuje nas z niniejszego postepowania przetargowego.</w:t>
      </w:r>
    </w:p>
    <w:p w:rsidR="00843755" w:rsidRDefault="00843755" w:rsidP="00843755">
      <w:pPr>
        <w:rPr>
          <w:rFonts w:ascii="GE Inspira" w:hAnsi="GE Inspira"/>
          <w:b/>
        </w:rPr>
      </w:pPr>
      <w:r>
        <w:rPr>
          <w:b/>
        </w:rPr>
        <w:t>Czy w celu umożliwienia naszej firmie złożenie oferty, Zamawiający skoryguje zapisy w tym punkcie do następującej postaci:</w:t>
      </w:r>
    </w:p>
    <w:tbl>
      <w:tblPr>
        <w:tblW w:w="10010" w:type="dxa"/>
        <w:tblInd w:w="-275" w:type="dxa"/>
        <w:tblLook w:val="04A0" w:firstRow="1" w:lastRow="0" w:firstColumn="1" w:lastColumn="0" w:noHBand="0" w:noVBand="1"/>
      </w:tblPr>
      <w:tblGrid>
        <w:gridCol w:w="606"/>
        <w:gridCol w:w="4299"/>
        <w:gridCol w:w="1793"/>
        <w:gridCol w:w="1523"/>
        <w:gridCol w:w="1789"/>
      </w:tblGrid>
      <w:tr w:rsidR="00843755" w:rsidTr="00843755">
        <w:trPr>
          <w:trHeight w:val="510"/>
        </w:trPr>
        <w:tc>
          <w:tcPr>
            <w:tcW w:w="60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b/>
                <w:color w:val="000000"/>
                <w:lang w:val="en-US"/>
              </w:rPr>
            </w:pPr>
            <w:r>
              <w:rPr>
                <w:b/>
                <w:color w:val="000000"/>
              </w:rPr>
              <w:t>Lp.</w:t>
            </w:r>
          </w:p>
        </w:tc>
        <w:tc>
          <w:tcPr>
            <w:tcW w:w="4339" w:type="dxa"/>
            <w:tcBorders>
              <w:top w:val="single" w:sz="4" w:space="0" w:color="auto"/>
              <w:left w:val="nil"/>
              <w:bottom w:val="single" w:sz="4" w:space="0" w:color="auto"/>
              <w:right w:val="single" w:sz="4" w:space="0" w:color="auto"/>
            </w:tcBorders>
            <w:vAlign w:val="center"/>
            <w:hideMark/>
          </w:tcPr>
          <w:p w:rsidR="00843755" w:rsidRDefault="00843755">
            <w:pPr>
              <w:rPr>
                <w:b/>
                <w:color w:val="000000"/>
              </w:rPr>
            </w:pPr>
            <w:r>
              <w:rPr>
                <w:b/>
                <w:color w:val="000000"/>
              </w:rPr>
              <w:t>Opis wymaganych parametrów technicznych</w:t>
            </w:r>
          </w:p>
        </w:tc>
        <w:tc>
          <w:tcPr>
            <w:tcW w:w="1804"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lang w:val="en-US"/>
              </w:rPr>
            </w:pPr>
            <w:r>
              <w:rPr>
                <w:b/>
                <w:color w:val="000000"/>
              </w:rPr>
              <w:t>Parametr graniczny / wartość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Parametry oferowanego urządzenia</w:t>
            </w:r>
          </w:p>
        </w:tc>
        <w:tc>
          <w:tcPr>
            <w:tcW w:w="1799"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Punktacja</w:t>
            </w:r>
          </w:p>
        </w:tc>
      </w:tr>
      <w:tr w:rsidR="00843755" w:rsidTr="00843755">
        <w:trPr>
          <w:trHeight w:val="510"/>
        </w:trPr>
        <w:tc>
          <w:tcPr>
            <w:tcW w:w="60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220</w:t>
            </w:r>
          </w:p>
        </w:tc>
        <w:tc>
          <w:tcPr>
            <w:tcW w:w="4339"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 xml:space="preserve">Pakiet oprogramowania do multimodalnego konturowania guza i narządów krytycznych. </w:t>
            </w:r>
            <w:r>
              <w:rPr>
                <w:color w:val="000000"/>
              </w:rPr>
              <w:br/>
              <w:t>Oprogramowanie umożliwia:</w:t>
            </w:r>
            <w:r>
              <w:rPr>
                <w:color w:val="000000"/>
              </w:rPr>
              <w:br/>
              <w:t>• możliwość konturowania w oparciu o badania CT, MR, PET, PET/CT, 4D CT równolegle na wielu zestawach danych</w:t>
            </w:r>
            <w:r>
              <w:rPr>
                <w:color w:val="000000"/>
              </w:rPr>
              <w:br/>
              <w:t>• dostępność ręcznych i półautomatycznych narzędzi segmentacji, z możliwością konturowania w dowolnych przekrojach</w:t>
            </w:r>
            <w:r>
              <w:rPr>
                <w:color w:val="000000"/>
              </w:rPr>
              <w:br/>
              <w:t>• kopiowanie/wklejanie konturów pomiędzy zestawami danych, co najmniej z MR do CT, z PET do CT a kontur przypisywany jest do tomografii do planowania</w:t>
            </w:r>
            <w:r>
              <w:rPr>
                <w:color w:val="000000"/>
              </w:rPr>
              <w:br/>
              <w:t xml:space="preserve">• możliwość konturowania organów wrażliwych, z użyciem funkcji </w:t>
            </w:r>
            <w:proofErr w:type="spellStart"/>
            <w:r>
              <w:rPr>
                <w:color w:val="000000"/>
              </w:rPr>
              <w:t>autokonturowania</w:t>
            </w:r>
            <w:proofErr w:type="spellEnd"/>
            <w:r>
              <w:rPr>
                <w:color w:val="000000"/>
              </w:rPr>
              <w:t xml:space="preserve"> (dla mózgu, serca, płuc, wątroby, nerek, główki kości udowej)</w:t>
            </w:r>
            <w:r>
              <w:rPr>
                <w:color w:val="000000"/>
              </w:rPr>
              <w:br/>
              <w:t xml:space="preserve">• fuzja obrazów w oparciu o matrycę </w:t>
            </w:r>
            <w:r>
              <w:rPr>
                <w:color w:val="000000"/>
              </w:rPr>
              <w:lastRenderedPageBreak/>
              <w:t>prostą oraz deformacyjną</w:t>
            </w:r>
            <w:r>
              <w:rPr>
                <w:color w:val="000000"/>
              </w:rPr>
              <w:br/>
              <w:t>• możliwość konturowania po odcieniach szarości w badaniach MR oraz po wartościach SUV w badaniach PET</w:t>
            </w:r>
            <w:r>
              <w:rPr>
                <w:color w:val="000000"/>
              </w:rPr>
              <w:br/>
              <w:t xml:space="preserve">• wyświetlanie do 4 </w:t>
            </w:r>
            <w:proofErr w:type="spellStart"/>
            <w:r>
              <w:rPr>
                <w:color w:val="000000"/>
              </w:rPr>
              <w:t>fuzjowanych</w:t>
            </w:r>
            <w:proofErr w:type="spellEnd"/>
            <w:r>
              <w:rPr>
                <w:color w:val="000000"/>
              </w:rPr>
              <w:t xml:space="preserve"> serii zdjęć równocześnie, co najmniej: PET/CT, MR/CT, CT/CT</w:t>
            </w:r>
            <w:r>
              <w:rPr>
                <w:color w:val="000000"/>
              </w:rPr>
              <w:br/>
              <w:t>• propagacja konturu z jednej fazy 4D do innych faz oddechowych</w:t>
            </w:r>
            <w:r>
              <w:rPr>
                <w:color w:val="000000"/>
              </w:rPr>
              <w:br/>
              <w:t>• propagacja struktur pomiędzy badaniami z wykorzystaniem rejestracji deformacyjnej</w:t>
            </w:r>
            <w:r>
              <w:rPr>
                <w:color w:val="000000"/>
              </w:rPr>
              <w:br/>
              <w:t xml:space="preserve">• tworzenie punktów referencyjnych </w:t>
            </w:r>
            <w:r>
              <w:rPr>
                <w:color w:val="000000"/>
              </w:rPr>
              <w:br/>
              <w:t>• zgodność z standardem DICOM oraz IHE-RO</w:t>
            </w:r>
            <w:r>
              <w:rPr>
                <w:color w:val="000000"/>
              </w:rPr>
              <w:br/>
              <w:t>- jednoczesny dostęp na jednej konsoli</w:t>
            </w:r>
          </w:p>
        </w:tc>
        <w:tc>
          <w:tcPr>
            <w:tcW w:w="1804"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lastRenderedPageBreak/>
              <w:t>Tak</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9"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Bez oceny</w:t>
            </w:r>
          </w:p>
        </w:tc>
      </w:tr>
    </w:tbl>
    <w:p w:rsidR="00843755" w:rsidRDefault="00843755" w:rsidP="00843755">
      <w:pPr>
        <w:pStyle w:val="Akapitzlist"/>
        <w:numPr>
          <w:ilvl w:val="0"/>
          <w:numId w:val="12"/>
        </w:numPr>
        <w:spacing w:before="120" w:after="120" w:line="360" w:lineRule="auto"/>
        <w:rPr>
          <w:rFonts w:ascii="GE Inspira" w:hAnsi="GE Inspira"/>
        </w:rPr>
      </w:pPr>
      <w:r>
        <w:rPr>
          <w:rFonts w:ascii="GE Inspira" w:hAnsi="GE Inspira"/>
          <w:b/>
        </w:rPr>
        <w:t>Zamawiający w Załączniku_Nr_1_-_Oferta Techniczna_30-05-2018_10.26.25, w części dotyczącej MR</w:t>
      </w:r>
      <w:r>
        <w:rPr>
          <w:rFonts w:ascii="GE Inspira" w:hAnsi="GE Inspira"/>
        </w:rPr>
        <w:t xml:space="preserve">, wyspecyfikował parametry wymagane w taki sposób, że firma GE musi zaoferować swój najnowszy system MR wprowadzony do sprzedaży w zeszłym roku tj. 1.5T </w:t>
      </w:r>
      <w:proofErr w:type="spellStart"/>
      <w:r>
        <w:rPr>
          <w:rFonts w:ascii="GE Inspira" w:hAnsi="GE Inspira"/>
        </w:rPr>
        <w:t>Signa</w:t>
      </w:r>
      <w:proofErr w:type="spellEnd"/>
      <w:r>
        <w:rPr>
          <w:rFonts w:ascii="GE Inspira" w:hAnsi="GE Inspira"/>
        </w:rPr>
        <w:t xml:space="preserve"> Artist 128, podczas gdy konkurencyjna firma Siemens nie musi oferować swojego najnowszego rozwiązania, tj. 1.5T Magnetom Sola i wystarczy, że może zaoferować system 1.5T Magentom </w:t>
      </w:r>
      <w:proofErr w:type="spellStart"/>
      <w:r>
        <w:rPr>
          <w:rFonts w:ascii="GE Inspira" w:hAnsi="GE Inspira"/>
        </w:rPr>
        <w:t>Area</w:t>
      </w:r>
      <w:proofErr w:type="spellEnd"/>
      <w:r>
        <w:rPr>
          <w:rFonts w:ascii="GE Inspira" w:hAnsi="GE Inspira"/>
        </w:rPr>
        <w:t xml:space="preserve"> 64x204, oferowany na rynku od co najmniej 2010 roku. Taki zabieg powoduje, co oczywiste, że konkurują między sobą dwa nierównorzędne systemy: nowocześniejszy i droższy, versus starszy i – co za tym idzie – znacznie tańszy. </w:t>
      </w:r>
    </w:p>
    <w:p w:rsidR="00843755" w:rsidRDefault="00843755" w:rsidP="00843755">
      <w:pPr>
        <w:pStyle w:val="Akapitzlist"/>
        <w:ind w:left="360"/>
        <w:rPr>
          <w:rFonts w:ascii="GE Inspira" w:hAnsi="GE Inspira"/>
        </w:rPr>
      </w:pPr>
      <w:r>
        <w:rPr>
          <w:rFonts w:ascii="GE Inspira" w:hAnsi="GE Inspira"/>
        </w:rPr>
        <w:t xml:space="preserve">Wartym zauważenia jest fakt, iż w poprzedniej edycji „Postępowania o udzielenie zamówienia publicznego o wartości szacunkowej powyżej 211 000 euro, prowadzonego w trybie przetargu nieograniczonego na: Dostawę wyposażenia i aparatury medycznej w ramach zadania „Budowa Siedleckiego Ośrodka Onkologii”” zakończonego unieważnieniem w dn. 27.kwietnia br., Zamawiający w zakresie MR wyspecyfikował parametry wymagane w taki sposób, że możliwe było zaoferowanie ze strony firmy GE systemu 1.5T Optima MR450wGEM oraz ze strony firmy Siemens systemu 1.5T Magentom </w:t>
      </w:r>
      <w:proofErr w:type="spellStart"/>
      <w:r>
        <w:rPr>
          <w:rFonts w:ascii="GE Inspira" w:hAnsi="GE Inspira"/>
        </w:rPr>
        <w:t>Area</w:t>
      </w:r>
      <w:proofErr w:type="spellEnd"/>
      <w:r>
        <w:rPr>
          <w:rFonts w:ascii="GE Inspira" w:hAnsi="GE Inspira"/>
        </w:rPr>
        <w:t xml:space="preserve">, zatem równorzędnych systemów. Także i parametry premiowane pozwalały obu systemom zdobyć porównywalną liczbę punktów (ok. 55). </w:t>
      </w:r>
    </w:p>
    <w:p w:rsidR="00843755" w:rsidRDefault="00843755" w:rsidP="00843755">
      <w:pPr>
        <w:pStyle w:val="Akapitzlist"/>
        <w:ind w:left="360"/>
        <w:rPr>
          <w:rFonts w:ascii="GE Inspira" w:hAnsi="GE Inspira"/>
        </w:rPr>
      </w:pPr>
      <w:r>
        <w:rPr>
          <w:rFonts w:ascii="GE Inspira" w:hAnsi="GE Inspira"/>
        </w:rPr>
        <w:t xml:space="preserve">Rozumiemy, że Zamawiający unieważniając poprzednią edycję postępowania przetargowego i uruchamiając obecną, dąży do zmian i decyduje się wymagać najlepszych rozwiązań. Skoro tak, to powinien wymagać zaoferowania najlepszych i najnowocześniejszych, wprowadzonych do sprzedaży w ostatnim czasie, systemów MR, jakimi są m.in. 1.5T </w:t>
      </w:r>
      <w:proofErr w:type="spellStart"/>
      <w:r>
        <w:rPr>
          <w:rFonts w:ascii="GE Inspira" w:hAnsi="GE Inspira"/>
        </w:rPr>
        <w:t>Signa</w:t>
      </w:r>
      <w:proofErr w:type="spellEnd"/>
      <w:r>
        <w:rPr>
          <w:rFonts w:ascii="GE Inspira" w:hAnsi="GE Inspira"/>
        </w:rPr>
        <w:t xml:space="preserve"> Artist firmy GE czy 1.5T Magnetom Sola firmy Siemens.</w:t>
      </w:r>
    </w:p>
    <w:p w:rsidR="00843755" w:rsidRDefault="00843755" w:rsidP="00843755">
      <w:pPr>
        <w:rPr>
          <w:rFonts w:ascii="GE Inspira" w:hAnsi="GE Inspira"/>
          <w:b/>
        </w:rPr>
      </w:pPr>
      <w:r>
        <w:rPr>
          <w:b/>
        </w:rPr>
        <w:t>Czy w zawiązku z tym, w celu umożliwienia naszej firmie złożenie konkurencyjnej oferty oraz w celu doprowadzenia do sytuacji, w której konkurować będą równorzędne systemy, Zamawiający skoryguje zapisy w wymienionych poniżej punktach, do następujących postaci:</w:t>
      </w:r>
    </w:p>
    <w:tbl>
      <w:tblPr>
        <w:tblW w:w="10010" w:type="dxa"/>
        <w:tblInd w:w="-275" w:type="dxa"/>
        <w:tblLook w:val="04A0" w:firstRow="1" w:lastRow="0" w:firstColumn="1" w:lastColumn="0" w:noHBand="0" w:noVBand="1"/>
      </w:tblPr>
      <w:tblGrid>
        <w:gridCol w:w="607"/>
        <w:gridCol w:w="4270"/>
        <w:gridCol w:w="1791"/>
        <w:gridCol w:w="1523"/>
        <w:gridCol w:w="1819"/>
      </w:tblGrid>
      <w:tr w:rsidR="00843755" w:rsidTr="00843755">
        <w:trPr>
          <w:trHeight w:val="510"/>
        </w:trPr>
        <w:tc>
          <w:tcPr>
            <w:tcW w:w="609"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b/>
                <w:color w:val="000000"/>
                <w:lang w:val="en-US"/>
              </w:rPr>
            </w:pPr>
            <w:r>
              <w:rPr>
                <w:b/>
                <w:color w:val="000000"/>
              </w:rPr>
              <w:t>Lp.</w:t>
            </w:r>
          </w:p>
        </w:tc>
        <w:tc>
          <w:tcPr>
            <w:tcW w:w="4431" w:type="dxa"/>
            <w:tcBorders>
              <w:top w:val="single" w:sz="4" w:space="0" w:color="auto"/>
              <w:left w:val="nil"/>
              <w:bottom w:val="single" w:sz="4" w:space="0" w:color="auto"/>
              <w:right w:val="single" w:sz="4" w:space="0" w:color="auto"/>
            </w:tcBorders>
            <w:vAlign w:val="center"/>
            <w:hideMark/>
          </w:tcPr>
          <w:p w:rsidR="00843755" w:rsidRDefault="00843755">
            <w:pPr>
              <w:rPr>
                <w:b/>
                <w:color w:val="000000"/>
              </w:rPr>
            </w:pPr>
            <w:r>
              <w:rPr>
                <w:b/>
                <w:color w:val="000000"/>
              </w:rPr>
              <w:t>Opis wymaganych parametrów technicznych</w:t>
            </w:r>
          </w:p>
        </w:tc>
        <w:tc>
          <w:tcPr>
            <w:tcW w:w="1825"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lang w:val="en-US"/>
              </w:rPr>
            </w:pPr>
            <w:r>
              <w:rPr>
                <w:b/>
                <w:color w:val="000000"/>
              </w:rPr>
              <w:t>Parametr graniczny / wartość</w:t>
            </w:r>
          </w:p>
        </w:tc>
        <w:tc>
          <w:tcPr>
            <w:tcW w:w="1325"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Parametry oferowanego urządzenia</w:t>
            </w:r>
          </w:p>
        </w:tc>
        <w:tc>
          <w:tcPr>
            <w:tcW w:w="1820"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Punktacja</w:t>
            </w:r>
          </w:p>
        </w:tc>
      </w:tr>
      <w:tr w:rsidR="00843755" w:rsidTr="00843755">
        <w:trPr>
          <w:trHeight w:val="510"/>
        </w:trPr>
        <w:tc>
          <w:tcPr>
            <w:tcW w:w="609"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24</w:t>
            </w:r>
          </w:p>
        </w:tc>
        <w:tc>
          <w:tcPr>
            <w:tcW w:w="4431" w:type="dxa"/>
            <w:tcBorders>
              <w:top w:val="single" w:sz="4" w:space="0" w:color="auto"/>
              <w:left w:val="nil"/>
              <w:bottom w:val="single" w:sz="4" w:space="0" w:color="auto"/>
              <w:right w:val="single" w:sz="4" w:space="0" w:color="auto"/>
            </w:tcBorders>
            <w:vAlign w:val="center"/>
            <w:hideMark/>
          </w:tcPr>
          <w:p w:rsidR="00843755" w:rsidRDefault="00843755">
            <w:pPr>
              <w:rPr>
                <w:color w:val="000000"/>
              </w:rPr>
            </w:pPr>
            <w:r>
              <w:rPr>
                <w:color w:val="000000"/>
              </w:rPr>
              <w:t xml:space="preserve">Cewka elastyczna </w:t>
            </w:r>
            <w:proofErr w:type="spellStart"/>
            <w:r>
              <w:rPr>
                <w:color w:val="000000"/>
              </w:rPr>
              <w:t>płachtowa</w:t>
            </w:r>
            <w:proofErr w:type="spellEnd"/>
            <w:r>
              <w:rPr>
                <w:color w:val="000000"/>
              </w:rPr>
              <w:t xml:space="preserve"> mała, do badania małych stawów (np. nadgarstek, łokieć), o minimum 16 kanałach pomiarowych obrazujących jednocześnie</w:t>
            </w:r>
          </w:p>
        </w:tc>
        <w:tc>
          <w:tcPr>
            <w:tcW w:w="1825"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Tak, podać nazwę cewki</w:t>
            </w:r>
          </w:p>
        </w:tc>
        <w:tc>
          <w:tcPr>
            <w:tcW w:w="1325" w:type="dxa"/>
            <w:tcBorders>
              <w:top w:val="single" w:sz="4" w:space="0" w:color="auto"/>
              <w:left w:val="nil"/>
              <w:bottom w:val="single" w:sz="4" w:space="0" w:color="auto"/>
              <w:right w:val="single" w:sz="4" w:space="0" w:color="auto"/>
            </w:tcBorders>
            <w:vAlign w:val="center"/>
          </w:tcPr>
          <w:p w:rsidR="00843755" w:rsidRDefault="00843755">
            <w:pPr>
              <w:jc w:val="center"/>
              <w:rPr>
                <w:color w:val="000000"/>
              </w:rPr>
            </w:pPr>
          </w:p>
        </w:tc>
        <w:tc>
          <w:tcPr>
            <w:tcW w:w="1820"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Bez oceny</w:t>
            </w:r>
          </w:p>
        </w:tc>
      </w:tr>
      <w:tr w:rsidR="00843755" w:rsidTr="00843755">
        <w:trPr>
          <w:trHeight w:val="510"/>
        </w:trPr>
        <w:tc>
          <w:tcPr>
            <w:tcW w:w="609"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lang w:val="en-US"/>
              </w:rPr>
            </w:pPr>
            <w:r>
              <w:rPr>
                <w:color w:val="000000"/>
              </w:rPr>
              <w:lastRenderedPageBreak/>
              <w:t>25</w:t>
            </w:r>
          </w:p>
        </w:tc>
        <w:tc>
          <w:tcPr>
            <w:tcW w:w="4431" w:type="dxa"/>
            <w:tcBorders>
              <w:top w:val="single" w:sz="4" w:space="0" w:color="auto"/>
              <w:left w:val="nil"/>
              <w:bottom w:val="single" w:sz="4" w:space="0" w:color="auto"/>
              <w:right w:val="single" w:sz="4" w:space="0" w:color="auto"/>
            </w:tcBorders>
            <w:vAlign w:val="center"/>
            <w:hideMark/>
          </w:tcPr>
          <w:p w:rsidR="00843755" w:rsidRDefault="00843755">
            <w:pPr>
              <w:rPr>
                <w:color w:val="000000"/>
              </w:rPr>
            </w:pPr>
            <w:r>
              <w:rPr>
                <w:color w:val="000000"/>
              </w:rPr>
              <w:t xml:space="preserve">Cewka elastyczna </w:t>
            </w:r>
            <w:proofErr w:type="spellStart"/>
            <w:r>
              <w:rPr>
                <w:color w:val="000000"/>
              </w:rPr>
              <w:t>płachtowa</w:t>
            </w:r>
            <w:proofErr w:type="spellEnd"/>
            <w:r>
              <w:rPr>
                <w:color w:val="000000"/>
              </w:rPr>
              <w:t xml:space="preserve"> duża, do badania dużych stawów (np. stawu skokowego, kolana obrzękniętego lub w opatrunku), o minimum 16 kanałach pomiarowych obrazujących jednocześnie</w:t>
            </w:r>
          </w:p>
        </w:tc>
        <w:tc>
          <w:tcPr>
            <w:tcW w:w="1825"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Tak, podać nazwę cewki</w:t>
            </w:r>
          </w:p>
        </w:tc>
        <w:tc>
          <w:tcPr>
            <w:tcW w:w="1325" w:type="dxa"/>
            <w:tcBorders>
              <w:top w:val="single" w:sz="4" w:space="0" w:color="auto"/>
              <w:left w:val="nil"/>
              <w:bottom w:val="single" w:sz="4" w:space="0" w:color="auto"/>
              <w:right w:val="single" w:sz="4" w:space="0" w:color="auto"/>
            </w:tcBorders>
            <w:vAlign w:val="center"/>
          </w:tcPr>
          <w:p w:rsidR="00843755" w:rsidRDefault="00843755">
            <w:pPr>
              <w:jc w:val="center"/>
              <w:rPr>
                <w:color w:val="000000"/>
              </w:rPr>
            </w:pPr>
          </w:p>
        </w:tc>
        <w:tc>
          <w:tcPr>
            <w:tcW w:w="1820"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Bez oceny</w:t>
            </w:r>
          </w:p>
        </w:tc>
      </w:tr>
      <w:tr w:rsidR="00843755" w:rsidTr="00843755">
        <w:trPr>
          <w:trHeight w:val="510"/>
        </w:trPr>
        <w:tc>
          <w:tcPr>
            <w:tcW w:w="609"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lang w:val="en-US"/>
              </w:rPr>
            </w:pPr>
            <w:r>
              <w:rPr>
                <w:color w:val="000000"/>
              </w:rPr>
              <w:t>29</w:t>
            </w:r>
          </w:p>
        </w:tc>
        <w:tc>
          <w:tcPr>
            <w:tcW w:w="4431" w:type="dxa"/>
            <w:tcBorders>
              <w:top w:val="single" w:sz="4" w:space="0" w:color="auto"/>
              <w:left w:val="nil"/>
              <w:bottom w:val="single" w:sz="4" w:space="0" w:color="auto"/>
              <w:right w:val="single" w:sz="4" w:space="0" w:color="auto"/>
            </w:tcBorders>
            <w:vAlign w:val="center"/>
            <w:hideMark/>
          </w:tcPr>
          <w:p w:rsidR="00843755" w:rsidRDefault="00843755">
            <w:pPr>
              <w:rPr>
                <w:color w:val="000000"/>
              </w:rPr>
            </w:pPr>
            <w:r>
              <w:rPr>
                <w:color w:val="000000"/>
              </w:rPr>
              <w:t xml:space="preserve">Liczba niezależnych kanałów odbiorczych z pełną ścieżką cyfrową (wzmacniacz, przetwornik analogowo-cyfrowy, element rekonstruktora), które mogą być wykorzystane jednocześnie w jednym pojedynczym skanie i w jednym pojedynczym </w:t>
            </w:r>
            <w:proofErr w:type="spellStart"/>
            <w:r>
              <w:rPr>
                <w:color w:val="000000"/>
              </w:rPr>
              <w:t>FoV</w:t>
            </w:r>
            <w:proofErr w:type="spellEnd"/>
            <w:r>
              <w:rPr>
                <w:color w:val="000000"/>
              </w:rPr>
              <w:t>, każdy generując niezależny obraz cząstkowy</w:t>
            </w:r>
          </w:p>
        </w:tc>
        <w:tc>
          <w:tcPr>
            <w:tcW w:w="1825"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128, podać</w:t>
            </w:r>
          </w:p>
        </w:tc>
        <w:tc>
          <w:tcPr>
            <w:tcW w:w="1325" w:type="dxa"/>
            <w:tcBorders>
              <w:top w:val="single" w:sz="4" w:space="0" w:color="auto"/>
              <w:left w:val="nil"/>
              <w:bottom w:val="single" w:sz="4" w:space="0" w:color="auto"/>
              <w:right w:val="single" w:sz="4" w:space="0" w:color="auto"/>
            </w:tcBorders>
            <w:vAlign w:val="center"/>
            <w:hideMark/>
          </w:tcPr>
          <w:p w:rsidR="00843755" w:rsidRDefault="00843755">
            <w:pPr>
              <w:rPr>
                <w:color w:val="000000"/>
              </w:rPr>
            </w:pPr>
          </w:p>
        </w:tc>
        <w:tc>
          <w:tcPr>
            <w:tcW w:w="1820" w:type="dxa"/>
            <w:tcBorders>
              <w:top w:val="single" w:sz="4" w:space="0" w:color="auto"/>
              <w:left w:val="nil"/>
              <w:bottom w:val="single" w:sz="4" w:space="0" w:color="auto"/>
              <w:right w:val="single" w:sz="4" w:space="0" w:color="auto"/>
            </w:tcBorders>
            <w:vAlign w:val="center"/>
            <w:hideMark/>
          </w:tcPr>
          <w:p w:rsidR="00843755" w:rsidRDefault="00843755">
            <w:pPr>
              <w:jc w:val="center"/>
              <w:rPr>
                <w:rFonts w:ascii="GE Inspira" w:hAnsi="GE Inspira"/>
                <w:color w:val="000000"/>
                <w:kern w:val="8"/>
                <w:sz w:val="22"/>
                <w:szCs w:val="22"/>
                <w:lang w:eastAsia="en-US"/>
              </w:rPr>
            </w:pPr>
            <w:r>
              <w:rPr>
                <w:color w:val="000000"/>
              </w:rPr>
              <w:t>&gt; 128 – 3 pkt</w:t>
            </w:r>
            <w:r>
              <w:rPr>
                <w:color w:val="000000"/>
              </w:rPr>
              <w:br/>
              <w:t>= 128 – 0 pkt</w:t>
            </w:r>
          </w:p>
        </w:tc>
      </w:tr>
      <w:tr w:rsidR="00843755" w:rsidTr="00843755">
        <w:trPr>
          <w:trHeight w:val="510"/>
        </w:trPr>
        <w:tc>
          <w:tcPr>
            <w:tcW w:w="609"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lang w:val="en-US"/>
              </w:rPr>
            </w:pPr>
            <w:r>
              <w:rPr>
                <w:color w:val="000000"/>
              </w:rPr>
              <w:t>58</w:t>
            </w:r>
          </w:p>
        </w:tc>
        <w:tc>
          <w:tcPr>
            <w:tcW w:w="4431" w:type="dxa"/>
            <w:tcBorders>
              <w:top w:val="single" w:sz="4" w:space="0" w:color="auto"/>
              <w:left w:val="nil"/>
              <w:bottom w:val="single" w:sz="4" w:space="0" w:color="auto"/>
              <w:right w:val="single" w:sz="4" w:space="0" w:color="auto"/>
            </w:tcBorders>
            <w:vAlign w:val="center"/>
            <w:hideMark/>
          </w:tcPr>
          <w:p w:rsidR="00843755" w:rsidRDefault="00843755">
            <w:pPr>
              <w:rPr>
                <w:color w:val="000000"/>
              </w:rPr>
            </w:pPr>
            <w:r>
              <w:rPr>
                <w:color w:val="000000"/>
              </w:rPr>
              <w:t>Szybkość rekonstrukcji obrazu w matrycy min 256x256 przy pełnym FOV</w:t>
            </w:r>
          </w:p>
        </w:tc>
        <w:tc>
          <w:tcPr>
            <w:tcW w:w="1825"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35 000 obrazów/s, podać</w:t>
            </w:r>
          </w:p>
        </w:tc>
        <w:tc>
          <w:tcPr>
            <w:tcW w:w="1325"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820"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Najwyższa - 3 pkt.; 35000obrazów/s - 0 pkt. - pozostałe proporcjonalnie</w:t>
            </w:r>
          </w:p>
        </w:tc>
      </w:tr>
      <w:tr w:rsidR="00843755" w:rsidTr="00843755">
        <w:trPr>
          <w:trHeight w:val="510"/>
        </w:trPr>
        <w:tc>
          <w:tcPr>
            <w:tcW w:w="609"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74</w:t>
            </w:r>
          </w:p>
        </w:tc>
        <w:tc>
          <w:tcPr>
            <w:tcW w:w="4431" w:type="dxa"/>
            <w:tcBorders>
              <w:top w:val="single" w:sz="4" w:space="0" w:color="auto"/>
              <w:left w:val="nil"/>
              <w:bottom w:val="single" w:sz="4" w:space="0" w:color="auto"/>
              <w:right w:val="single" w:sz="4" w:space="0" w:color="auto"/>
            </w:tcBorders>
            <w:vAlign w:val="center"/>
            <w:hideMark/>
          </w:tcPr>
          <w:p w:rsidR="00843755" w:rsidRDefault="00843755">
            <w:pPr>
              <w:rPr>
                <w:color w:val="000000"/>
              </w:rPr>
            </w:pPr>
            <w:r>
              <w:rPr>
                <w:color w:val="000000"/>
              </w:rPr>
              <w:t>Maksymalny statyczny FOV (w osi z)</w:t>
            </w:r>
          </w:p>
        </w:tc>
        <w:tc>
          <w:tcPr>
            <w:tcW w:w="1825"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50 cm, podać</w:t>
            </w:r>
          </w:p>
        </w:tc>
        <w:tc>
          <w:tcPr>
            <w:tcW w:w="1325" w:type="dxa"/>
            <w:tcBorders>
              <w:top w:val="single" w:sz="4" w:space="0" w:color="auto"/>
              <w:left w:val="nil"/>
              <w:bottom w:val="single" w:sz="4" w:space="0" w:color="auto"/>
              <w:right w:val="single" w:sz="4" w:space="0" w:color="auto"/>
            </w:tcBorders>
            <w:vAlign w:val="center"/>
          </w:tcPr>
          <w:p w:rsidR="00843755" w:rsidRDefault="00843755">
            <w:pPr>
              <w:jc w:val="center"/>
              <w:rPr>
                <w:color w:val="000000"/>
              </w:rPr>
            </w:pPr>
          </w:p>
        </w:tc>
        <w:tc>
          <w:tcPr>
            <w:tcW w:w="1820"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50 cm - 0 pkt</w:t>
            </w:r>
            <w:r>
              <w:rPr>
                <w:color w:val="000000"/>
              </w:rPr>
              <w:br/>
              <w:t xml:space="preserve"> &gt; 50 cm - 4 pkt</w:t>
            </w:r>
          </w:p>
        </w:tc>
      </w:tr>
    </w:tbl>
    <w:p w:rsidR="00843755" w:rsidRDefault="00843755" w:rsidP="00843755">
      <w:pPr>
        <w:rPr>
          <w:rFonts w:ascii="GE Inspira" w:eastAsia="Times" w:hAnsi="GE Inspira"/>
          <w:b/>
          <w:i/>
          <w:kern w:val="8"/>
          <w:sz w:val="22"/>
          <w:szCs w:val="22"/>
          <w:lang w:eastAsia="en-US"/>
        </w:rPr>
      </w:pPr>
    </w:p>
    <w:p w:rsidR="00843755" w:rsidRDefault="00843755" w:rsidP="00843755">
      <w:pPr>
        <w:pStyle w:val="Akapitzlist"/>
        <w:numPr>
          <w:ilvl w:val="0"/>
          <w:numId w:val="12"/>
        </w:numPr>
        <w:spacing w:before="120" w:after="120" w:line="360" w:lineRule="auto"/>
        <w:rPr>
          <w:rFonts w:ascii="GE Inspira" w:hAnsi="GE Inspira"/>
        </w:rPr>
      </w:pPr>
      <w:r>
        <w:rPr>
          <w:rFonts w:ascii="GE Inspira" w:hAnsi="GE Inspira"/>
          <w:b/>
        </w:rPr>
        <w:t>Zamawiający w Załączniku_Nr_1_-_Oferta Techniczna_30-05-2018_10.26.25, w części dotyczącej MR</w:t>
      </w:r>
      <w:r>
        <w:rPr>
          <w:rFonts w:ascii="GE Inspira" w:hAnsi="GE Inspira"/>
        </w:rPr>
        <w:t xml:space="preserve">, wyspecyfikował parametry oceniane w sposób niezwykle stronniczy. Zarówno dobór parametrów ocenianych jak i wartość przyznawanych punktów za poszczególne z nich świadczy o preferowaniu systemu 1.5T </w:t>
      </w:r>
      <w:proofErr w:type="spellStart"/>
      <w:r>
        <w:rPr>
          <w:rFonts w:ascii="GE Inspira" w:hAnsi="GE Inspira"/>
        </w:rPr>
        <w:t>Area</w:t>
      </w:r>
      <w:proofErr w:type="spellEnd"/>
      <w:r>
        <w:rPr>
          <w:rFonts w:ascii="GE Inspira" w:hAnsi="GE Inspira"/>
        </w:rPr>
        <w:t xml:space="preserve"> 64x204 firmy Siemens. I tak, preferowany system 1.5T </w:t>
      </w:r>
      <w:proofErr w:type="spellStart"/>
      <w:r>
        <w:rPr>
          <w:rFonts w:ascii="GE Inspira" w:hAnsi="GE Inspira"/>
        </w:rPr>
        <w:t>Area</w:t>
      </w:r>
      <w:proofErr w:type="spellEnd"/>
      <w:r>
        <w:rPr>
          <w:rFonts w:ascii="GE Inspira" w:hAnsi="GE Inspira"/>
        </w:rPr>
        <w:t xml:space="preserve"> 64x204 firmy Siemens, oferowany na rynku od co najmniej 2010 roku, zdobywa powyżej 90 punktów (z 98 możliwych do zdobycia), podczas gdy najnowsze rozwiązanie firmy GE 1.5T </w:t>
      </w:r>
      <w:proofErr w:type="spellStart"/>
      <w:r>
        <w:rPr>
          <w:rFonts w:ascii="GE Inspira" w:hAnsi="GE Inspira"/>
        </w:rPr>
        <w:t>Signa</w:t>
      </w:r>
      <w:proofErr w:type="spellEnd"/>
      <w:r>
        <w:rPr>
          <w:rFonts w:ascii="GE Inspira" w:hAnsi="GE Inspira"/>
        </w:rPr>
        <w:t xml:space="preserve"> Artist 128, wprowadzone do sprzedaży w zeszłym roku, będące rozwiązaniem znacznie nowocześniejszym od konkurencji, mogłoby zdobyć co najwyżej 14 punktów. Dzieje się tak dlatego, że Zamawiający:</w:t>
      </w:r>
    </w:p>
    <w:p w:rsidR="00843755" w:rsidRDefault="00843755" w:rsidP="00843755">
      <w:pPr>
        <w:pStyle w:val="Akapitzlist"/>
        <w:numPr>
          <w:ilvl w:val="1"/>
          <w:numId w:val="12"/>
        </w:numPr>
        <w:spacing w:before="120" w:after="120" w:line="360" w:lineRule="auto"/>
        <w:rPr>
          <w:rFonts w:ascii="GE Inspira" w:hAnsi="GE Inspira"/>
        </w:rPr>
      </w:pPr>
      <w:r>
        <w:rPr>
          <w:rFonts w:ascii="GE Inspira" w:hAnsi="GE Inspira"/>
        </w:rPr>
        <w:t xml:space="preserve">Dobrał parametry premiowane w taki sposób, że właściwie w każdym z nich system 1.5T </w:t>
      </w:r>
      <w:proofErr w:type="spellStart"/>
      <w:r>
        <w:rPr>
          <w:rFonts w:ascii="GE Inspira" w:hAnsi="GE Inspira"/>
        </w:rPr>
        <w:t>Area</w:t>
      </w:r>
      <w:proofErr w:type="spellEnd"/>
      <w:r>
        <w:rPr>
          <w:rFonts w:ascii="GE Inspira" w:hAnsi="GE Inspira"/>
        </w:rPr>
        <w:t xml:space="preserve"> 64x204 firmy Siemens zdobywa maksymalną liczbę punktów.</w:t>
      </w:r>
    </w:p>
    <w:p w:rsidR="00843755" w:rsidRDefault="00843755" w:rsidP="00843755">
      <w:pPr>
        <w:pStyle w:val="Akapitzlist"/>
        <w:numPr>
          <w:ilvl w:val="1"/>
          <w:numId w:val="12"/>
        </w:numPr>
        <w:spacing w:before="120" w:after="120" w:line="360" w:lineRule="auto"/>
        <w:rPr>
          <w:rFonts w:ascii="GE Inspira" w:hAnsi="GE Inspira"/>
        </w:rPr>
      </w:pPr>
      <w:r>
        <w:rPr>
          <w:rFonts w:ascii="GE Inspira" w:hAnsi="GE Inspira"/>
        </w:rPr>
        <w:t xml:space="preserve">Dobrał parametry premiowane w taki sposób, że właściwie nie ma premiowanych własności i funkcjonalności, których nie spełniałby system 1.5T </w:t>
      </w:r>
      <w:proofErr w:type="spellStart"/>
      <w:r>
        <w:rPr>
          <w:rFonts w:ascii="GE Inspira" w:hAnsi="GE Inspira"/>
        </w:rPr>
        <w:t>Area</w:t>
      </w:r>
      <w:proofErr w:type="spellEnd"/>
      <w:r>
        <w:rPr>
          <w:rFonts w:ascii="GE Inspira" w:hAnsi="GE Inspira"/>
        </w:rPr>
        <w:t xml:space="preserve"> 64x204 firmy Siemens. I tak: Zamawiający wyspecyfikował TYLKO jeden parametr (w punkcie 74), w którym system firmy GE 1.5T </w:t>
      </w:r>
      <w:proofErr w:type="spellStart"/>
      <w:r>
        <w:rPr>
          <w:rFonts w:ascii="GE Inspira" w:hAnsi="GE Inspira"/>
        </w:rPr>
        <w:t>Signa</w:t>
      </w:r>
      <w:proofErr w:type="spellEnd"/>
      <w:r>
        <w:rPr>
          <w:rFonts w:ascii="GE Inspira" w:hAnsi="GE Inspira"/>
        </w:rPr>
        <w:t xml:space="preserve"> Artist 128 zdobywa punkty, a system 1.5T </w:t>
      </w:r>
      <w:proofErr w:type="spellStart"/>
      <w:r>
        <w:rPr>
          <w:rFonts w:ascii="GE Inspira" w:hAnsi="GE Inspira"/>
        </w:rPr>
        <w:t>Area</w:t>
      </w:r>
      <w:proofErr w:type="spellEnd"/>
      <w:r>
        <w:rPr>
          <w:rFonts w:ascii="GE Inspira" w:hAnsi="GE Inspira"/>
        </w:rPr>
        <w:t xml:space="preserve"> 64x204 firmy Siemens nie. Brak jest premiowania własności i funkcjonalności będących bardzo docenianymi przez zmawiających (co Zamawiający także przyznał w toku poprzedniej edycji „Postępowania o udzielenie zamówienia publicznego o wartości szacunkowej powyżej 211 000 euro, prowadzonego w trybie przetargu nieograniczonego na: Dostawę wyposażenia i aparatury medycznej w ramach zadania „Budowa Siedleckiego Ośrodka Onkologii””), a których nie oferuje system firmy Siemens, np.:</w:t>
      </w:r>
    </w:p>
    <w:p w:rsidR="00843755" w:rsidRDefault="00843755" w:rsidP="00843755">
      <w:pPr>
        <w:pStyle w:val="Akapitzlist"/>
        <w:numPr>
          <w:ilvl w:val="2"/>
          <w:numId w:val="12"/>
        </w:numPr>
        <w:spacing w:before="120" w:after="120" w:line="360" w:lineRule="auto"/>
        <w:rPr>
          <w:rFonts w:ascii="GE Inspira" w:hAnsi="GE Inspira"/>
        </w:rPr>
      </w:pPr>
      <w:r>
        <w:rPr>
          <w:rFonts w:ascii="GE Inspira" w:hAnsi="GE Inspira"/>
        </w:rPr>
        <w:lastRenderedPageBreak/>
        <w:t>Homogeniczności pola magnetycznego dla większych średnic, w szczególności dla średnicy 50 cm</w:t>
      </w:r>
    </w:p>
    <w:p w:rsidR="00843755" w:rsidRDefault="00843755" w:rsidP="00843755">
      <w:pPr>
        <w:pStyle w:val="Akapitzlist"/>
        <w:numPr>
          <w:ilvl w:val="2"/>
          <w:numId w:val="12"/>
        </w:numPr>
        <w:spacing w:before="120" w:after="120" w:line="360" w:lineRule="auto"/>
        <w:rPr>
          <w:rFonts w:ascii="GE Inspira" w:hAnsi="GE Inspira"/>
        </w:rPr>
      </w:pPr>
      <w:r>
        <w:rPr>
          <w:rFonts w:ascii="GE Inspira" w:hAnsi="GE Inspira"/>
        </w:rPr>
        <w:t>Możliwość podłączenia cewki do badania głowy i szyi z obu końców stołu i wykonywania badań głowy niezależnie od kierunku ułożenia pacjenta na stole („</w:t>
      </w:r>
      <w:proofErr w:type="spellStart"/>
      <w:r>
        <w:rPr>
          <w:rFonts w:ascii="GE Inspira" w:hAnsi="GE Inspira"/>
        </w:rPr>
        <w:t>head</w:t>
      </w:r>
      <w:proofErr w:type="spellEnd"/>
      <w:r>
        <w:rPr>
          <w:rFonts w:ascii="GE Inspira" w:hAnsi="GE Inspira"/>
        </w:rPr>
        <w:t xml:space="preserve"> </w:t>
      </w:r>
      <w:proofErr w:type="spellStart"/>
      <w:r>
        <w:rPr>
          <w:rFonts w:ascii="GE Inspira" w:hAnsi="GE Inspira"/>
        </w:rPr>
        <w:t>first</w:t>
      </w:r>
      <w:proofErr w:type="spellEnd"/>
      <w:r>
        <w:rPr>
          <w:rFonts w:ascii="GE Inspira" w:hAnsi="GE Inspira"/>
        </w:rPr>
        <w:t>” lub „</w:t>
      </w:r>
      <w:proofErr w:type="spellStart"/>
      <w:r>
        <w:rPr>
          <w:rFonts w:ascii="GE Inspira" w:hAnsi="GE Inspira"/>
        </w:rPr>
        <w:t>feet</w:t>
      </w:r>
      <w:proofErr w:type="spellEnd"/>
      <w:r>
        <w:rPr>
          <w:rFonts w:ascii="GE Inspira" w:hAnsi="GE Inspira"/>
        </w:rPr>
        <w:t xml:space="preserve"> </w:t>
      </w:r>
      <w:proofErr w:type="spellStart"/>
      <w:r>
        <w:rPr>
          <w:rFonts w:ascii="GE Inspira" w:hAnsi="GE Inspira"/>
        </w:rPr>
        <w:t>first</w:t>
      </w:r>
      <w:proofErr w:type="spellEnd"/>
      <w:r>
        <w:rPr>
          <w:rFonts w:ascii="GE Inspira" w:hAnsi="GE Inspira"/>
        </w:rPr>
        <w:t>”)</w:t>
      </w:r>
    </w:p>
    <w:p w:rsidR="00843755" w:rsidRDefault="00843755" w:rsidP="00843755">
      <w:pPr>
        <w:pStyle w:val="Akapitzlist"/>
        <w:numPr>
          <w:ilvl w:val="2"/>
          <w:numId w:val="12"/>
        </w:numPr>
        <w:spacing w:before="120" w:after="120" w:line="360" w:lineRule="auto"/>
        <w:rPr>
          <w:rFonts w:ascii="GE Inspira" w:hAnsi="GE Inspira"/>
        </w:rPr>
      </w:pPr>
      <w:r>
        <w:rPr>
          <w:rFonts w:ascii="GE Inspira" w:hAnsi="GE Inspira"/>
        </w:rPr>
        <w:t>Ponad metrowej długości cewki do badań angiograficznych i morfologicznych kończyn dolnych</w:t>
      </w:r>
    </w:p>
    <w:p w:rsidR="00843755" w:rsidRDefault="00843755" w:rsidP="00843755">
      <w:pPr>
        <w:pStyle w:val="Akapitzlist"/>
        <w:numPr>
          <w:ilvl w:val="2"/>
          <w:numId w:val="12"/>
        </w:numPr>
        <w:spacing w:before="120" w:after="120" w:line="360" w:lineRule="auto"/>
        <w:rPr>
          <w:rFonts w:ascii="GE Inspira" w:hAnsi="GE Inspira"/>
        </w:rPr>
      </w:pPr>
      <w:r>
        <w:rPr>
          <w:rFonts w:ascii="GE Inspira" w:hAnsi="GE Inspira"/>
        </w:rPr>
        <w:t>Cewek elastycznych, 16 kanałowych</w:t>
      </w:r>
    </w:p>
    <w:p w:rsidR="00843755" w:rsidRDefault="00843755" w:rsidP="00843755">
      <w:pPr>
        <w:pStyle w:val="Akapitzlist"/>
        <w:numPr>
          <w:ilvl w:val="2"/>
          <w:numId w:val="12"/>
        </w:numPr>
        <w:spacing w:before="120" w:after="120" w:line="360" w:lineRule="auto"/>
        <w:rPr>
          <w:rFonts w:ascii="GE Inspira" w:hAnsi="GE Inspira"/>
        </w:rPr>
      </w:pPr>
      <w:r>
        <w:rPr>
          <w:rFonts w:ascii="GE Inspira" w:hAnsi="GE Inspira"/>
        </w:rPr>
        <w:t>Ciężaru stołu pacjenta co najwyżej 230 kg</w:t>
      </w:r>
    </w:p>
    <w:p w:rsidR="00843755" w:rsidRDefault="00843755" w:rsidP="00843755">
      <w:pPr>
        <w:pStyle w:val="Akapitzlist"/>
        <w:numPr>
          <w:ilvl w:val="2"/>
          <w:numId w:val="12"/>
        </w:numPr>
        <w:spacing w:before="120" w:after="120" w:line="360" w:lineRule="auto"/>
        <w:rPr>
          <w:rFonts w:ascii="GE Inspira" w:hAnsi="GE Inspira"/>
        </w:rPr>
      </w:pPr>
      <w:r>
        <w:rPr>
          <w:rFonts w:ascii="GE Inspira" w:hAnsi="GE Inspira"/>
        </w:rPr>
        <w:t>Możliwości dokonania pauzy podczas sekwencji akwizycyjnych bez utraty danych zebranych w danej sekwencji</w:t>
      </w:r>
    </w:p>
    <w:p w:rsidR="00843755" w:rsidRDefault="00843755" w:rsidP="00843755">
      <w:pPr>
        <w:pStyle w:val="Akapitzlist"/>
        <w:numPr>
          <w:ilvl w:val="2"/>
          <w:numId w:val="12"/>
        </w:numPr>
        <w:spacing w:before="120" w:after="120" w:line="360" w:lineRule="auto"/>
        <w:rPr>
          <w:rFonts w:ascii="GE Inspira" w:hAnsi="GE Inspira"/>
        </w:rPr>
      </w:pPr>
      <w:r>
        <w:rPr>
          <w:rFonts w:ascii="GE Inspira" w:hAnsi="GE Inspira"/>
        </w:rPr>
        <w:t>Liczby obrazów możliwych do archiwizacji na dysku konsoli operatorskiej</w:t>
      </w:r>
    </w:p>
    <w:p w:rsidR="00843755" w:rsidRDefault="00843755" w:rsidP="00843755">
      <w:pPr>
        <w:pStyle w:val="Akapitzlist"/>
        <w:numPr>
          <w:ilvl w:val="2"/>
          <w:numId w:val="12"/>
        </w:numPr>
        <w:spacing w:before="120" w:after="120" w:line="360" w:lineRule="auto"/>
        <w:rPr>
          <w:rFonts w:ascii="GE Inspira" w:hAnsi="GE Inspira"/>
        </w:rPr>
      </w:pPr>
      <w:r>
        <w:rPr>
          <w:rFonts w:ascii="GE Inspira" w:hAnsi="GE Inspira"/>
        </w:rPr>
        <w:t>Szybkości rekonstrukcji obrazu</w:t>
      </w:r>
    </w:p>
    <w:p w:rsidR="00843755" w:rsidRDefault="00843755" w:rsidP="00843755">
      <w:pPr>
        <w:pStyle w:val="Akapitzlist"/>
        <w:numPr>
          <w:ilvl w:val="2"/>
          <w:numId w:val="12"/>
        </w:numPr>
        <w:spacing w:before="120" w:after="120" w:line="360" w:lineRule="auto"/>
        <w:rPr>
          <w:rFonts w:ascii="GE Inspira" w:hAnsi="GE Inspira"/>
        </w:rPr>
      </w:pPr>
      <w:r>
        <w:rPr>
          <w:rFonts w:ascii="GE Inspira" w:hAnsi="GE Inspira"/>
        </w:rPr>
        <w:t>Parametrów czasowych najszybszych sekwencji akwizycyjnych (TR, TE, ESP dla EPI oraz TR, TE dla 3D GRE)</w:t>
      </w:r>
    </w:p>
    <w:p w:rsidR="00843755" w:rsidRDefault="00843755" w:rsidP="00843755">
      <w:pPr>
        <w:pStyle w:val="Akapitzlist"/>
        <w:numPr>
          <w:ilvl w:val="2"/>
          <w:numId w:val="12"/>
        </w:numPr>
        <w:spacing w:before="120" w:after="120" w:line="360" w:lineRule="auto"/>
        <w:rPr>
          <w:rFonts w:ascii="GE Inspira" w:hAnsi="GE Inspira"/>
        </w:rPr>
      </w:pPr>
      <w:r>
        <w:rPr>
          <w:rFonts w:ascii="GE Inspira" w:hAnsi="GE Inspira"/>
        </w:rPr>
        <w:t>Specjalnej sekwencji 3D pracującej z parametrem TE ≤ 20 µs</w:t>
      </w:r>
    </w:p>
    <w:p w:rsidR="00843755" w:rsidRDefault="00843755" w:rsidP="00843755">
      <w:pPr>
        <w:pStyle w:val="Akapitzlist"/>
        <w:numPr>
          <w:ilvl w:val="2"/>
          <w:numId w:val="12"/>
        </w:numPr>
        <w:spacing w:before="120" w:after="120" w:line="360" w:lineRule="auto"/>
        <w:rPr>
          <w:rFonts w:ascii="GE Inspira" w:hAnsi="GE Inspira"/>
        </w:rPr>
      </w:pPr>
      <w:r>
        <w:rPr>
          <w:rFonts w:ascii="GE Inspira" w:hAnsi="GE Inspira"/>
        </w:rPr>
        <w:t>Dyfuzji DW-EPI łącznie z mapowaniem dróg nerwowych (</w:t>
      </w:r>
      <w:proofErr w:type="spellStart"/>
      <w:r>
        <w:rPr>
          <w:rFonts w:ascii="GE Inspira" w:hAnsi="GE Inspira"/>
        </w:rPr>
        <w:t>Trace</w:t>
      </w:r>
      <w:proofErr w:type="spellEnd"/>
      <w:r>
        <w:rPr>
          <w:rFonts w:ascii="GE Inspira" w:hAnsi="GE Inspira"/>
        </w:rPr>
        <w:t xml:space="preserve"> Map) i ADC Map, b min. 20 s/mm2</w:t>
      </w:r>
    </w:p>
    <w:p w:rsidR="00843755" w:rsidRDefault="00843755" w:rsidP="00843755">
      <w:pPr>
        <w:pStyle w:val="Akapitzlist"/>
        <w:numPr>
          <w:ilvl w:val="2"/>
          <w:numId w:val="12"/>
        </w:numPr>
        <w:spacing w:before="120" w:after="120" w:line="360" w:lineRule="auto"/>
        <w:rPr>
          <w:rFonts w:ascii="GE Inspira" w:hAnsi="GE Inspira"/>
        </w:rPr>
      </w:pPr>
      <w:r>
        <w:rPr>
          <w:rFonts w:ascii="GE Inspira" w:hAnsi="GE Inspira"/>
        </w:rPr>
        <w:t xml:space="preserve">Wysokorozdzielczych badań dyfuzyjnych w oparciu o sekwencje EPI w ograniczonym </w:t>
      </w:r>
      <w:proofErr w:type="spellStart"/>
      <w:r>
        <w:rPr>
          <w:rFonts w:ascii="GE Inspira" w:hAnsi="GE Inspira"/>
        </w:rPr>
        <w:t>FoV</w:t>
      </w:r>
      <w:proofErr w:type="spellEnd"/>
      <w:r>
        <w:rPr>
          <w:rFonts w:ascii="GE Inspira" w:hAnsi="GE Inspira"/>
        </w:rPr>
        <w:t xml:space="preserve"> (polu widzenia)</w:t>
      </w:r>
    </w:p>
    <w:p w:rsidR="00843755" w:rsidRDefault="00843755" w:rsidP="00843755">
      <w:pPr>
        <w:pStyle w:val="Akapitzlist"/>
        <w:numPr>
          <w:ilvl w:val="2"/>
          <w:numId w:val="12"/>
        </w:numPr>
        <w:spacing w:before="120" w:after="120" w:line="360" w:lineRule="auto"/>
        <w:rPr>
          <w:rFonts w:ascii="GE Inspira" w:hAnsi="GE Inspira"/>
        </w:rPr>
      </w:pPr>
      <w:r>
        <w:rPr>
          <w:rFonts w:ascii="GE Inspira" w:hAnsi="GE Inspira"/>
        </w:rPr>
        <w:t>i inne</w:t>
      </w:r>
    </w:p>
    <w:p w:rsidR="00843755" w:rsidRDefault="00843755" w:rsidP="00843755">
      <w:pPr>
        <w:pStyle w:val="Akapitzlist"/>
        <w:ind w:left="360"/>
        <w:rPr>
          <w:rFonts w:ascii="GE Inspira" w:hAnsi="GE Inspira"/>
          <w:b/>
        </w:rPr>
      </w:pPr>
      <w:r>
        <w:rPr>
          <w:rFonts w:ascii="GE Inspira" w:hAnsi="GE Inspira"/>
          <w:b/>
        </w:rPr>
        <w:t>Czy w zawiązku z tym, w celu umożliwienia naszej firmie złożenie konkurencyjnej oferty, Zamawiający wprowadzi dodatkowe parametry premiowane oraz skoryguje zapisy w istniejących punktach, do następujących postaci:</w:t>
      </w:r>
    </w:p>
    <w:tbl>
      <w:tblPr>
        <w:tblW w:w="10010" w:type="dxa"/>
        <w:tblInd w:w="-275" w:type="dxa"/>
        <w:tblLook w:val="04A0" w:firstRow="1" w:lastRow="0" w:firstColumn="1" w:lastColumn="0" w:noHBand="0" w:noVBand="1"/>
      </w:tblPr>
      <w:tblGrid>
        <w:gridCol w:w="743"/>
        <w:gridCol w:w="4176"/>
        <w:gridCol w:w="1765"/>
        <w:gridCol w:w="1523"/>
        <w:gridCol w:w="1803"/>
      </w:tblGrid>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ascii="GE Inspira" w:hAnsi="GE Inspira"/>
                <w:b/>
                <w:color w:val="000000"/>
              </w:rPr>
            </w:pPr>
            <w:r>
              <w:rPr>
                <w:b/>
                <w:color w:val="000000"/>
              </w:rPr>
              <w:t>Lp.</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b/>
                <w:color w:val="000000"/>
              </w:rPr>
            </w:pPr>
            <w:r>
              <w:rPr>
                <w:b/>
                <w:color w:val="000000"/>
              </w:rPr>
              <w:t>Opis wymaganych parametrów technicznych</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lang w:val="en-US"/>
              </w:rPr>
            </w:pPr>
            <w:r>
              <w:rPr>
                <w:b/>
                <w:color w:val="000000"/>
              </w:rPr>
              <w:t>Parametr graniczny / wartość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Parametry oferowanego urządzenia</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Punktacja</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6.a</w:t>
            </w:r>
          </w:p>
        </w:tc>
        <w:tc>
          <w:tcPr>
            <w:tcW w:w="4253"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eastAsia="Calibri" w:hAnsi="GE Inspira"/>
              </w:rPr>
            </w:pPr>
            <w:r>
              <w:rPr>
                <w:rFonts w:ascii="GE Inspira" w:hAnsi="GE Inspira"/>
              </w:rPr>
              <w:t xml:space="preserve">Homogeniczność pola (wartość typowa w </w:t>
            </w:r>
            <w:proofErr w:type="spellStart"/>
            <w:r>
              <w:rPr>
                <w:rFonts w:ascii="GE Inspira" w:hAnsi="GE Inspira"/>
              </w:rPr>
              <w:t>ppm</w:t>
            </w:r>
            <w:proofErr w:type="spellEnd"/>
            <w:r>
              <w:rPr>
                <w:rFonts w:ascii="GE Inspira" w:hAnsi="GE Inspira"/>
              </w:rPr>
              <w:t xml:space="preserve"> mierzona metodą VRMS) [</w:t>
            </w:r>
            <w:proofErr w:type="spellStart"/>
            <w:r>
              <w:rPr>
                <w:rFonts w:ascii="GE Inspira" w:hAnsi="GE Inspira"/>
              </w:rPr>
              <w:t>ppm</w:t>
            </w:r>
            <w:proofErr w:type="spellEnd"/>
            <w:r>
              <w:rPr>
                <w:rFonts w:ascii="GE Inspira" w:hAnsi="GE Inspira"/>
              </w:rPr>
              <w:t>] zgodnie z informacjami podanymi w specyfikacjach technicznych producenta podanych w podpunktach do tego punktu, w dużej kuli o średnicy 40 cm</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both"/>
              <w:rPr>
                <w:rFonts w:ascii="GE Inspira" w:hAnsi="GE Inspira"/>
              </w:rPr>
            </w:pPr>
            <w:r>
              <w:rPr>
                <w:rFonts w:ascii="GE Inspira" w:hAnsi="GE Inspira"/>
              </w:rPr>
              <w:t>≤ 1,0ppm;</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center"/>
              <w:rPr>
                <w:rFonts w:ascii="GE Inspira" w:hAnsi="GE Inspira"/>
              </w:rPr>
            </w:pPr>
            <w:r>
              <w:rPr>
                <w:rFonts w:ascii="GE Inspira" w:hAnsi="GE Inspira"/>
              </w:rPr>
              <w:t>(*)</w:t>
            </w:r>
          </w:p>
        </w:tc>
        <w:tc>
          <w:tcPr>
            <w:tcW w:w="1796"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hAnsi="GE Inspira"/>
              </w:rPr>
            </w:pPr>
            <w:r>
              <w:rPr>
                <w:rFonts w:ascii="GE Inspira" w:hAnsi="GE Inspira"/>
              </w:rPr>
              <w:t>Wartość najmniejsza – 3 pkt, Wartość największa – 0 pkt, Pozostałe – proporcjonalnie</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ascii="GE Inspira" w:hAnsi="GE Inspira"/>
                <w:color w:val="000000"/>
              </w:rPr>
            </w:pPr>
            <w:r>
              <w:rPr>
                <w:color w:val="000000"/>
              </w:rPr>
              <w:t>6.b</w:t>
            </w:r>
          </w:p>
        </w:tc>
        <w:tc>
          <w:tcPr>
            <w:tcW w:w="4253"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eastAsia="Calibri" w:hAnsi="GE Inspira"/>
              </w:rPr>
            </w:pPr>
            <w:r>
              <w:rPr>
                <w:rFonts w:ascii="GE Inspira" w:hAnsi="GE Inspira"/>
              </w:rPr>
              <w:t xml:space="preserve">Homogeniczność pola (wartość typowa w </w:t>
            </w:r>
            <w:proofErr w:type="spellStart"/>
            <w:r>
              <w:rPr>
                <w:rFonts w:ascii="GE Inspira" w:hAnsi="GE Inspira"/>
              </w:rPr>
              <w:t>ppm</w:t>
            </w:r>
            <w:proofErr w:type="spellEnd"/>
            <w:r>
              <w:rPr>
                <w:rFonts w:ascii="GE Inspira" w:hAnsi="GE Inspira"/>
              </w:rPr>
              <w:t xml:space="preserve"> mierzona metodą VRMS) [</w:t>
            </w:r>
            <w:proofErr w:type="spellStart"/>
            <w:r>
              <w:rPr>
                <w:rFonts w:ascii="GE Inspira" w:hAnsi="GE Inspira"/>
              </w:rPr>
              <w:t>ppm</w:t>
            </w:r>
            <w:proofErr w:type="spellEnd"/>
            <w:r>
              <w:rPr>
                <w:rFonts w:ascii="GE Inspira" w:hAnsi="GE Inspira"/>
              </w:rPr>
              <w:t xml:space="preserve">] zgodnie z informacjami podanymi w specyfikacjach technicznych producenta podanych w podpunktach do tego punktu, w dużej kuli o średnicy 50 cm ≤ 3,5 </w:t>
            </w:r>
            <w:proofErr w:type="spellStart"/>
            <w:r>
              <w:rPr>
                <w:rFonts w:ascii="GE Inspira" w:hAnsi="GE Inspira"/>
              </w:rPr>
              <w:t>ppm</w:t>
            </w:r>
            <w:proofErr w:type="spellEnd"/>
            <w:r>
              <w:rPr>
                <w:rFonts w:ascii="GE Inspira" w:hAnsi="GE Inspira"/>
              </w:rPr>
              <w:t>;</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both"/>
              <w:rPr>
                <w:rFonts w:ascii="GE Inspira" w:hAnsi="GE Inspira"/>
              </w:rPr>
            </w:pPr>
            <w:r>
              <w:rPr>
                <w:rFonts w:ascii="GE Inspira" w:hAnsi="GE Inspira"/>
              </w:rPr>
              <w:t>Tak / Nie</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center"/>
              <w:rPr>
                <w:rFonts w:ascii="GE Inspira" w:hAnsi="GE Inspira"/>
              </w:rPr>
            </w:pPr>
            <w:r>
              <w:rPr>
                <w:rFonts w:ascii="GE Inspira" w:hAnsi="GE Inspira"/>
              </w:rPr>
              <w:t>(*)</w:t>
            </w:r>
          </w:p>
        </w:tc>
        <w:tc>
          <w:tcPr>
            <w:tcW w:w="1796"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hAnsi="GE Inspira"/>
              </w:rPr>
            </w:pPr>
            <w:r>
              <w:rPr>
                <w:rFonts w:ascii="GE Inspira" w:hAnsi="GE Inspira"/>
              </w:rPr>
              <w:t>Tak – 5 pkt</w:t>
            </w:r>
          </w:p>
          <w:p w:rsidR="00843755" w:rsidRDefault="00843755">
            <w:pPr>
              <w:pStyle w:val="Akapitzlist"/>
              <w:spacing w:after="0" w:line="240" w:lineRule="auto"/>
              <w:ind w:left="0"/>
              <w:jc w:val="both"/>
              <w:rPr>
                <w:rFonts w:ascii="GE Inspira" w:hAnsi="GE Inspira"/>
              </w:rPr>
            </w:pPr>
            <w:r>
              <w:rPr>
                <w:rFonts w:ascii="GE Inspira" w:hAnsi="GE Inspira"/>
              </w:rPr>
              <w:t>Nie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ascii="GE Inspira" w:hAnsi="GE Inspira"/>
                <w:color w:val="000000"/>
              </w:rPr>
            </w:pPr>
            <w:r>
              <w:rPr>
                <w:color w:val="000000"/>
              </w:rPr>
              <w:lastRenderedPageBreak/>
              <w:t>15.a</w:t>
            </w:r>
          </w:p>
        </w:tc>
        <w:tc>
          <w:tcPr>
            <w:tcW w:w="4253"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eastAsia="Calibri" w:hAnsi="GE Inspira"/>
              </w:rPr>
            </w:pPr>
            <w:r>
              <w:rPr>
                <w:rFonts w:ascii="GE Inspira" w:hAnsi="GE Inspira"/>
              </w:rPr>
              <w:t>Możliwość podłączenia cewki do badania głowy i szyi z obu końców stołu i wykonywania badań głowy niezależnie od kierunku ułożenia pacjenta na stole („</w:t>
            </w:r>
            <w:proofErr w:type="spellStart"/>
            <w:r>
              <w:rPr>
                <w:rFonts w:ascii="GE Inspira" w:hAnsi="GE Inspira"/>
              </w:rPr>
              <w:t>head</w:t>
            </w:r>
            <w:proofErr w:type="spellEnd"/>
            <w:r>
              <w:rPr>
                <w:rFonts w:ascii="GE Inspira" w:hAnsi="GE Inspira"/>
              </w:rPr>
              <w:t xml:space="preserve"> </w:t>
            </w:r>
            <w:proofErr w:type="spellStart"/>
            <w:r>
              <w:rPr>
                <w:rFonts w:ascii="GE Inspira" w:hAnsi="GE Inspira"/>
              </w:rPr>
              <w:t>first</w:t>
            </w:r>
            <w:proofErr w:type="spellEnd"/>
            <w:r>
              <w:rPr>
                <w:rFonts w:ascii="GE Inspira" w:hAnsi="GE Inspira"/>
              </w:rPr>
              <w:t>” lub „</w:t>
            </w:r>
            <w:proofErr w:type="spellStart"/>
            <w:r>
              <w:rPr>
                <w:rFonts w:ascii="GE Inspira" w:hAnsi="GE Inspira"/>
              </w:rPr>
              <w:t>feet</w:t>
            </w:r>
            <w:proofErr w:type="spellEnd"/>
            <w:r>
              <w:rPr>
                <w:rFonts w:ascii="GE Inspira" w:hAnsi="GE Inspira"/>
              </w:rPr>
              <w:t xml:space="preserve"> </w:t>
            </w:r>
            <w:proofErr w:type="spellStart"/>
            <w:r>
              <w:rPr>
                <w:rFonts w:ascii="GE Inspira" w:hAnsi="GE Inspira"/>
              </w:rPr>
              <w:t>first</w:t>
            </w:r>
            <w:proofErr w:type="spellEnd"/>
            <w:r>
              <w:rPr>
                <w:rFonts w:ascii="GE Inspira" w:hAnsi="GE Inspira"/>
              </w:rPr>
              <w:t>”)</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both"/>
              <w:rPr>
                <w:rFonts w:ascii="GE Inspira" w:hAnsi="GE Inspira"/>
              </w:rPr>
            </w:pPr>
            <w:r>
              <w:rPr>
                <w:rFonts w:ascii="GE Inspira" w:hAnsi="GE Inspira"/>
              </w:rPr>
              <w:t>Tak / Nie</w:t>
            </w:r>
          </w:p>
        </w:tc>
        <w:tc>
          <w:tcPr>
            <w:tcW w:w="1461" w:type="dxa"/>
            <w:tcBorders>
              <w:top w:val="single" w:sz="4" w:space="0" w:color="auto"/>
              <w:left w:val="nil"/>
              <w:bottom w:val="single" w:sz="4" w:space="0" w:color="auto"/>
              <w:right w:val="single" w:sz="4" w:space="0" w:color="auto"/>
            </w:tcBorders>
          </w:tcPr>
          <w:p w:rsidR="00843755" w:rsidRDefault="00843755">
            <w:pPr>
              <w:pStyle w:val="Akapitzlist"/>
              <w:spacing w:after="0" w:line="240" w:lineRule="auto"/>
              <w:ind w:left="0"/>
              <w:jc w:val="both"/>
              <w:rPr>
                <w:rFonts w:ascii="GE Inspira" w:hAnsi="GE Inspira"/>
              </w:rPr>
            </w:pPr>
          </w:p>
        </w:tc>
        <w:tc>
          <w:tcPr>
            <w:tcW w:w="1796"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hAnsi="GE Inspira"/>
              </w:rPr>
            </w:pPr>
            <w:r>
              <w:rPr>
                <w:rFonts w:ascii="GE Inspira" w:hAnsi="GE Inspira"/>
              </w:rPr>
              <w:t>Tak – 3 pkt</w:t>
            </w:r>
          </w:p>
          <w:p w:rsidR="00843755" w:rsidRDefault="00843755">
            <w:pPr>
              <w:pStyle w:val="Akapitzlist"/>
              <w:spacing w:after="0" w:line="240" w:lineRule="auto"/>
              <w:ind w:left="0"/>
              <w:jc w:val="both"/>
              <w:rPr>
                <w:rFonts w:ascii="GE Inspira" w:hAnsi="GE Inspira"/>
              </w:rPr>
            </w:pPr>
            <w:r>
              <w:rPr>
                <w:rFonts w:ascii="GE Inspira" w:hAnsi="GE Inspira"/>
              </w:rPr>
              <w:t>Nie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ascii="GE Inspira" w:hAnsi="GE Inspira"/>
                <w:color w:val="000000"/>
              </w:rPr>
            </w:pPr>
            <w:r>
              <w:rPr>
                <w:color w:val="000000"/>
              </w:rPr>
              <w:t>15.b</w:t>
            </w:r>
          </w:p>
        </w:tc>
        <w:tc>
          <w:tcPr>
            <w:tcW w:w="4253"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eastAsia="Calibri" w:hAnsi="GE Inspira"/>
              </w:rPr>
            </w:pPr>
            <w:r>
              <w:rPr>
                <w:rFonts w:ascii="GE Inspira" w:hAnsi="GE Inspira"/>
              </w:rPr>
              <w:t>Funkcjonalność regulacji kąta pochylenia cewki (umożliwiająca komfortowe badanie osób chorych)</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both"/>
              <w:rPr>
                <w:rFonts w:ascii="GE Inspira" w:hAnsi="GE Inspira"/>
              </w:rPr>
            </w:pPr>
            <w:r>
              <w:rPr>
                <w:rFonts w:ascii="GE Inspira" w:hAnsi="GE Inspira"/>
              </w:rPr>
              <w:t>Tak / Nie</w:t>
            </w:r>
          </w:p>
        </w:tc>
        <w:tc>
          <w:tcPr>
            <w:tcW w:w="1461" w:type="dxa"/>
            <w:tcBorders>
              <w:top w:val="single" w:sz="4" w:space="0" w:color="auto"/>
              <w:left w:val="nil"/>
              <w:bottom w:val="single" w:sz="4" w:space="0" w:color="auto"/>
              <w:right w:val="single" w:sz="4" w:space="0" w:color="auto"/>
            </w:tcBorders>
          </w:tcPr>
          <w:p w:rsidR="00843755" w:rsidRDefault="00843755">
            <w:pPr>
              <w:pStyle w:val="Akapitzlist"/>
              <w:spacing w:after="0" w:line="240" w:lineRule="auto"/>
              <w:ind w:left="0"/>
              <w:jc w:val="both"/>
              <w:rPr>
                <w:rFonts w:ascii="GE Inspira" w:hAnsi="GE Inspira"/>
              </w:rPr>
            </w:pPr>
          </w:p>
        </w:tc>
        <w:tc>
          <w:tcPr>
            <w:tcW w:w="1796"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hAnsi="GE Inspira"/>
              </w:rPr>
            </w:pPr>
            <w:r>
              <w:rPr>
                <w:rFonts w:ascii="GE Inspira" w:hAnsi="GE Inspira"/>
              </w:rPr>
              <w:t>Tak – 3 pkt</w:t>
            </w:r>
          </w:p>
          <w:p w:rsidR="00843755" w:rsidRDefault="00843755">
            <w:pPr>
              <w:pStyle w:val="Akapitzlist"/>
              <w:spacing w:after="0" w:line="240" w:lineRule="auto"/>
              <w:ind w:left="0"/>
              <w:jc w:val="both"/>
              <w:rPr>
                <w:rFonts w:ascii="GE Inspira" w:hAnsi="GE Inspira"/>
              </w:rPr>
            </w:pPr>
            <w:r>
              <w:rPr>
                <w:rFonts w:ascii="GE Inspira" w:hAnsi="GE Inspira"/>
              </w:rPr>
              <w:t>Nie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ascii="GE Inspira" w:hAnsi="GE Inspira"/>
                <w:color w:val="000000"/>
              </w:rPr>
            </w:pPr>
            <w:r>
              <w:rPr>
                <w:color w:val="000000"/>
              </w:rPr>
              <w:t>20</w:t>
            </w:r>
          </w:p>
        </w:tc>
        <w:tc>
          <w:tcPr>
            <w:tcW w:w="4253"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eastAsia="Calibri" w:hAnsi="GE Inspira"/>
              </w:rPr>
            </w:pPr>
            <w:r>
              <w:rPr>
                <w:rFonts w:ascii="GE Inspira" w:hAnsi="GE Inspira"/>
              </w:rPr>
              <w:t xml:space="preserve">Wielokanałowa cewka sztywna (dopasowana anatomicznie) lub elastyczna do badania stawu barkowego, posiadająca min 16 elementów pomiarowych obrazujących jednocześnie, pozwalająca na akwizycje równoległe (SENSE, </w:t>
            </w:r>
            <w:proofErr w:type="spellStart"/>
            <w:r>
              <w:rPr>
                <w:rFonts w:ascii="GE Inspira" w:hAnsi="GE Inspira"/>
              </w:rPr>
              <w:t>iPAT</w:t>
            </w:r>
            <w:proofErr w:type="spellEnd"/>
            <w:r>
              <w:rPr>
                <w:rFonts w:ascii="GE Inspira" w:hAnsi="GE Inspira"/>
              </w:rPr>
              <w:t>, ASSET, SPEEDER lub zgodnie z nomenklaturą producenta)</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both"/>
              <w:rPr>
                <w:rFonts w:ascii="GE Inspira" w:hAnsi="GE Inspira"/>
              </w:rPr>
            </w:pPr>
            <w:r>
              <w:rPr>
                <w:rFonts w:ascii="GE Inspira" w:hAnsi="GE Inspira"/>
              </w:rPr>
              <w:t>Tak, podać nazwę cewki</w:t>
            </w:r>
          </w:p>
        </w:tc>
        <w:tc>
          <w:tcPr>
            <w:tcW w:w="1461" w:type="dxa"/>
            <w:tcBorders>
              <w:top w:val="single" w:sz="4" w:space="0" w:color="auto"/>
              <w:left w:val="nil"/>
              <w:bottom w:val="single" w:sz="4" w:space="0" w:color="auto"/>
              <w:right w:val="single" w:sz="4" w:space="0" w:color="auto"/>
            </w:tcBorders>
          </w:tcPr>
          <w:p w:rsidR="00843755" w:rsidRDefault="00843755">
            <w:pPr>
              <w:pStyle w:val="Akapitzlist"/>
              <w:spacing w:after="0" w:line="240" w:lineRule="auto"/>
              <w:ind w:left="0"/>
              <w:jc w:val="both"/>
              <w:rPr>
                <w:rFonts w:ascii="GE Inspira" w:hAnsi="GE Inspira"/>
              </w:rPr>
            </w:pPr>
          </w:p>
        </w:tc>
        <w:tc>
          <w:tcPr>
            <w:tcW w:w="1796"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rPr>
                <w:rFonts w:ascii="GE Inspira" w:hAnsi="GE Inspira"/>
              </w:rPr>
            </w:pPr>
            <w:r>
              <w:rPr>
                <w:rFonts w:ascii="GE Inspira" w:hAnsi="GE Inspira"/>
              </w:rPr>
              <w:t>Cewka sztywna z możliwością dopasowania do wielkości badanej anatomii – 3 pkt</w:t>
            </w:r>
          </w:p>
          <w:p w:rsidR="00843755" w:rsidRDefault="00843755">
            <w:pPr>
              <w:pStyle w:val="Akapitzlist"/>
              <w:spacing w:after="0" w:line="240" w:lineRule="auto"/>
              <w:ind w:left="0"/>
              <w:rPr>
                <w:rFonts w:ascii="GE Inspira" w:hAnsi="GE Inspira"/>
              </w:rPr>
            </w:pPr>
            <w:r>
              <w:rPr>
                <w:rFonts w:ascii="GE Inspira" w:hAnsi="GE Inspira"/>
              </w:rPr>
              <w:t>Cewka sztywna bez możliwości dopasowania do wielkości badanej anatomii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ascii="GE Inspira" w:hAnsi="GE Inspira"/>
                <w:color w:val="000000"/>
              </w:rPr>
            </w:pPr>
            <w:r>
              <w:rPr>
                <w:color w:val="000000"/>
              </w:rPr>
              <w:t>26</w:t>
            </w:r>
          </w:p>
        </w:tc>
        <w:tc>
          <w:tcPr>
            <w:tcW w:w="4253"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eastAsia="Calibri" w:hAnsi="GE Inspira"/>
              </w:rPr>
            </w:pPr>
            <w:r>
              <w:rPr>
                <w:rFonts w:ascii="GE Inspira" w:hAnsi="GE Inspira"/>
              </w:rPr>
              <w:t>Wielokanałowa cewka typu „</w:t>
            </w:r>
            <w:proofErr w:type="spellStart"/>
            <w:r>
              <w:rPr>
                <w:rFonts w:ascii="GE Inspira" w:hAnsi="GE Inspira"/>
              </w:rPr>
              <w:t>Array</w:t>
            </w:r>
            <w:proofErr w:type="spellEnd"/>
            <w:r>
              <w:rPr>
                <w:rFonts w:ascii="GE Inspira" w:hAnsi="GE Inspira"/>
              </w:rPr>
              <w:t xml:space="preserve">” do badań angiograficznych i morfologicznych kończyn dolnych (z podstawką zmniejszającą nacisk na kończyny dolne), posiadająca min 30 elementów pomiarowych, pozwalająca na akwizycje równoległe (SENSE, </w:t>
            </w:r>
            <w:proofErr w:type="spellStart"/>
            <w:r>
              <w:rPr>
                <w:rFonts w:ascii="GE Inspira" w:hAnsi="GE Inspira"/>
              </w:rPr>
              <w:t>iPAT</w:t>
            </w:r>
            <w:proofErr w:type="spellEnd"/>
            <w:r>
              <w:rPr>
                <w:rFonts w:ascii="GE Inspira" w:hAnsi="GE Inspira"/>
              </w:rPr>
              <w:t>, ASSET, SPEEDER lub zgodnie z nomenklaturą producenta)</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both"/>
              <w:rPr>
                <w:rFonts w:ascii="GE Inspira" w:hAnsi="GE Inspira"/>
              </w:rPr>
            </w:pPr>
            <w:r>
              <w:rPr>
                <w:rFonts w:ascii="GE Inspira" w:hAnsi="GE Inspira"/>
              </w:rPr>
              <w:t>Tak, podać nazwę cewki i zakres jej pokrycia w osi Z.</w:t>
            </w:r>
          </w:p>
        </w:tc>
        <w:tc>
          <w:tcPr>
            <w:tcW w:w="1461" w:type="dxa"/>
            <w:tcBorders>
              <w:top w:val="single" w:sz="4" w:space="0" w:color="auto"/>
              <w:left w:val="nil"/>
              <w:bottom w:val="single" w:sz="4" w:space="0" w:color="auto"/>
              <w:right w:val="single" w:sz="4" w:space="0" w:color="auto"/>
            </w:tcBorders>
          </w:tcPr>
          <w:p w:rsidR="00843755" w:rsidRDefault="00843755">
            <w:pPr>
              <w:pStyle w:val="Akapitzlist"/>
              <w:spacing w:after="0" w:line="240" w:lineRule="auto"/>
              <w:ind w:left="0"/>
              <w:jc w:val="both"/>
              <w:rPr>
                <w:rFonts w:ascii="GE Inspira" w:hAnsi="GE Inspira"/>
              </w:rPr>
            </w:pPr>
          </w:p>
        </w:tc>
        <w:tc>
          <w:tcPr>
            <w:tcW w:w="1796"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rPr>
                <w:rFonts w:ascii="GE Inspira" w:hAnsi="GE Inspira"/>
              </w:rPr>
            </w:pPr>
            <w:r>
              <w:rPr>
                <w:rFonts w:ascii="GE Inspira" w:hAnsi="GE Inspira"/>
              </w:rPr>
              <w:t>≥ 100 cm – 4 pkt</w:t>
            </w:r>
          </w:p>
          <w:p w:rsidR="00843755" w:rsidRDefault="00843755">
            <w:pPr>
              <w:rPr>
                <w:rFonts w:ascii="GE Inspira" w:hAnsi="GE Inspira"/>
              </w:rPr>
            </w:pPr>
            <w:r>
              <w:t>&gt; 90 i &lt; 100 cm – 2 pkt</w:t>
            </w:r>
          </w:p>
          <w:p w:rsidR="00843755" w:rsidRDefault="00843755">
            <w:r>
              <w:t>&lt; 90 cm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40.a</w:t>
            </w:r>
          </w:p>
        </w:tc>
        <w:tc>
          <w:tcPr>
            <w:tcW w:w="4253"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eastAsia="Calibri" w:hAnsi="GE Inspira"/>
              </w:rPr>
            </w:pPr>
            <w:r>
              <w:rPr>
                <w:rFonts w:ascii="GE Inspira" w:hAnsi="GE Inspira"/>
              </w:rPr>
              <w:t>Ciężar stołu pacjenta ≤ 230 kg;</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both"/>
              <w:rPr>
                <w:rFonts w:ascii="GE Inspira" w:hAnsi="GE Inspira"/>
              </w:rPr>
            </w:pPr>
            <w:r>
              <w:rPr>
                <w:rFonts w:ascii="GE Inspira" w:hAnsi="GE Inspira"/>
              </w:rPr>
              <w:t>Tak, podać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center"/>
              <w:rPr>
                <w:rFonts w:ascii="GE Inspira" w:hAnsi="GE Inspira"/>
              </w:rPr>
            </w:pPr>
            <w:r>
              <w:rPr>
                <w:rFonts w:ascii="GE Inspira" w:hAnsi="GE Inspira"/>
              </w:rPr>
              <w:t>(*)</w:t>
            </w:r>
          </w:p>
        </w:tc>
        <w:tc>
          <w:tcPr>
            <w:tcW w:w="1796" w:type="dxa"/>
            <w:tcBorders>
              <w:top w:val="single" w:sz="4" w:space="0" w:color="auto"/>
              <w:left w:val="nil"/>
              <w:bottom w:val="single" w:sz="4" w:space="0" w:color="auto"/>
              <w:right w:val="single" w:sz="4" w:space="0" w:color="auto"/>
            </w:tcBorders>
            <w:hideMark/>
          </w:tcPr>
          <w:p w:rsidR="00843755" w:rsidRDefault="00843755">
            <w:pPr>
              <w:rPr>
                <w:rFonts w:ascii="GE Inspira" w:hAnsi="GE Inspira"/>
              </w:rPr>
            </w:pPr>
            <w:r>
              <w:t>Najmniejszy ciężar - 2 pkt, największy - 0 pkt ,pozostałe proporcjonalnie</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51.a</w:t>
            </w:r>
          </w:p>
        </w:tc>
        <w:tc>
          <w:tcPr>
            <w:tcW w:w="4253"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eastAsia="Calibri" w:hAnsi="GE Inspira"/>
              </w:rPr>
            </w:pPr>
            <w:r>
              <w:rPr>
                <w:rFonts w:ascii="GE Inspira" w:hAnsi="GE Inspira"/>
              </w:rPr>
              <w:t>Możliwość dokonania pauzy podczas sekwencji akwizycyjnych bez utraty danych zebranych w danej sekwencji</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both"/>
              <w:rPr>
                <w:rFonts w:ascii="GE Inspira" w:hAnsi="GE Inspira"/>
              </w:rPr>
            </w:pPr>
            <w:r>
              <w:rPr>
                <w:rFonts w:ascii="GE Inspira" w:hAnsi="GE Inspira"/>
              </w:rPr>
              <w:t>Tak / Nie</w:t>
            </w:r>
          </w:p>
        </w:tc>
        <w:tc>
          <w:tcPr>
            <w:tcW w:w="1461" w:type="dxa"/>
            <w:tcBorders>
              <w:top w:val="single" w:sz="4" w:space="0" w:color="auto"/>
              <w:left w:val="nil"/>
              <w:bottom w:val="single" w:sz="4" w:space="0" w:color="auto"/>
              <w:right w:val="single" w:sz="4" w:space="0" w:color="auto"/>
            </w:tcBorders>
          </w:tcPr>
          <w:p w:rsidR="00843755" w:rsidRDefault="00843755">
            <w:pPr>
              <w:pStyle w:val="Akapitzlist"/>
              <w:spacing w:after="0" w:line="240" w:lineRule="auto"/>
              <w:ind w:left="0"/>
              <w:jc w:val="both"/>
              <w:rPr>
                <w:rFonts w:ascii="GE Inspira" w:hAnsi="GE Inspira"/>
              </w:rPr>
            </w:pPr>
          </w:p>
        </w:tc>
        <w:tc>
          <w:tcPr>
            <w:tcW w:w="1796"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hAnsi="GE Inspira"/>
              </w:rPr>
            </w:pPr>
            <w:r>
              <w:rPr>
                <w:rFonts w:ascii="GE Inspira" w:hAnsi="GE Inspira"/>
              </w:rPr>
              <w:t>Tak – 2 pkt</w:t>
            </w:r>
          </w:p>
          <w:p w:rsidR="00843755" w:rsidRDefault="00843755">
            <w:pPr>
              <w:pStyle w:val="Akapitzlist"/>
              <w:spacing w:after="0" w:line="240" w:lineRule="auto"/>
              <w:ind w:left="0"/>
              <w:jc w:val="both"/>
              <w:rPr>
                <w:rFonts w:ascii="GE Inspira" w:hAnsi="GE Inspira"/>
              </w:rPr>
            </w:pPr>
            <w:r>
              <w:rPr>
                <w:rFonts w:ascii="GE Inspira" w:hAnsi="GE Inspira"/>
              </w:rPr>
              <w:t>Nie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ascii="GE Inspira" w:hAnsi="GE Inspira"/>
                <w:color w:val="000000"/>
              </w:rPr>
            </w:pPr>
            <w:r>
              <w:rPr>
                <w:color w:val="000000"/>
              </w:rPr>
              <w:t>56</w:t>
            </w:r>
          </w:p>
        </w:tc>
        <w:tc>
          <w:tcPr>
            <w:tcW w:w="4253"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eastAsia="Calibri" w:hAnsi="GE Inspira"/>
              </w:rPr>
            </w:pPr>
            <w:r>
              <w:rPr>
                <w:rFonts w:ascii="GE Inspira" w:hAnsi="GE Inspira"/>
              </w:rPr>
              <w:t>Liczba obrazów w matrycy min 256x256 bez kompresji możliwych do archiwizacji na HD ≥ 110 000</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both"/>
              <w:rPr>
                <w:rFonts w:ascii="GE Inspira" w:hAnsi="GE Inspira"/>
              </w:rPr>
            </w:pPr>
            <w:r>
              <w:rPr>
                <w:rFonts w:ascii="GE Inspira" w:hAnsi="GE Inspira"/>
              </w:rPr>
              <w:t>Tak, podać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center"/>
              <w:rPr>
                <w:rFonts w:ascii="GE Inspira" w:hAnsi="GE Inspira"/>
              </w:rPr>
            </w:pPr>
            <w:r>
              <w:rPr>
                <w:rFonts w:ascii="GE Inspira" w:hAnsi="GE Inspira"/>
              </w:rPr>
              <w:t>(*)</w:t>
            </w:r>
          </w:p>
        </w:tc>
        <w:tc>
          <w:tcPr>
            <w:tcW w:w="1796" w:type="dxa"/>
            <w:tcBorders>
              <w:top w:val="single" w:sz="4" w:space="0" w:color="auto"/>
              <w:left w:val="nil"/>
              <w:bottom w:val="single" w:sz="4" w:space="0" w:color="auto"/>
              <w:right w:val="single" w:sz="4" w:space="0" w:color="auto"/>
            </w:tcBorders>
            <w:hideMark/>
          </w:tcPr>
          <w:p w:rsidR="00843755" w:rsidRDefault="00843755">
            <w:pPr>
              <w:rPr>
                <w:rFonts w:ascii="GE Inspira" w:hAnsi="GE Inspira"/>
              </w:rPr>
            </w:pPr>
            <w:r>
              <w:t>Największa- 2 pkt.; 110000 obrazów - 0 pkt. - pozostałe proporcjonalnie</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lang w:val="en-US"/>
              </w:rPr>
            </w:pPr>
            <w:r>
              <w:rPr>
                <w:color w:val="000000"/>
              </w:rPr>
              <w:t>58</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color w:val="000000"/>
              </w:rPr>
            </w:pPr>
            <w:r>
              <w:rPr>
                <w:color w:val="000000"/>
              </w:rPr>
              <w:t>Szybkość rekonstrukcji obrazu w matrycy min 256x256 przy pełnym FOV</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35 000 obrazów/s, podać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Najwyższa - 3 pkt.; 35000obrazów/s - 0 pkt. - pozostałe proporcjonalnie</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87</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Min TR dla 3D GRE (256x256 matryca)</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 1,0 ms, podać</w:t>
            </w:r>
          </w:p>
        </w:tc>
        <w:tc>
          <w:tcPr>
            <w:tcW w:w="1461" w:type="dxa"/>
            <w:tcBorders>
              <w:top w:val="single" w:sz="4" w:space="0" w:color="auto"/>
              <w:left w:val="nil"/>
              <w:bottom w:val="single" w:sz="4" w:space="0" w:color="auto"/>
              <w:right w:val="single" w:sz="4" w:space="0" w:color="auto"/>
            </w:tcBorders>
            <w:vAlign w:val="center"/>
          </w:tcPr>
          <w:p w:rsidR="00843755" w:rsidRDefault="00843755">
            <w:pPr>
              <w:rPr>
                <w:color w:val="000000"/>
              </w:rPr>
            </w:pP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Najmniejsza wartość - 2 pkt, największa - 0 pkt, pozostałe proporcjonalnie</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lastRenderedPageBreak/>
              <w:t>88</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Min TE dla 3D GRE (256x256 matryca)</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 0,25 ms, podać</w:t>
            </w:r>
          </w:p>
        </w:tc>
        <w:tc>
          <w:tcPr>
            <w:tcW w:w="1461" w:type="dxa"/>
            <w:tcBorders>
              <w:top w:val="single" w:sz="4" w:space="0" w:color="auto"/>
              <w:left w:val="nil"/>
              <w:bottom w:val="single" w:sz="4" w:space="0" w:color="auto"/>
              <w:right w:val="single" w:sz="4" w:space="0" w:color="auto"/>
            </w:tcBorders>
            <w:vAlign w:val="center"/>
          </w:tcPr>
          <w:p w:rsidR="00843755" w:rsidRDefault="00843755">
            <w:pPr>
              <w:rPr>
                <w:color w:val="000000"/>
              </w:rPr>
            </w:pPr>
          </w:p>
        </w:tc>
        <w:tc>
          <w:tcPr>
            <w:tcW w:w="1796" w:type="dxa"/>
            <w:tcBorders>
              <w:top w:val="single" w:sz="4" w:space="0" w:color="auto"/>
              <w:left w:val="nil"/>
              <w:bottom w:val="single" w:sz="4" w:space="0" w:color="auto"/>
              <w:right w:val="single" w:sz="4" w:space="0" w:color="auto"/>
            </w:tcBorders>
            <w:hideMark/>
          </w:tcPr>
          <w:p w:rsidR="00843755" w:rsidRDefault="00843755">
            <w:r>
              <w:rPr>
                <w:color w:val="000000"/>
              </w:rPr>
              <w:t>Najmniejsza wartość - 2 pkt, największa - 0 pkt, pozostałe proporcjonalnie</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89</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Min TR dla EPI (256x256 matryca)</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 10,0 ms, podać</w:t>
            </w:r>
          </w:p>
        </w:tc>
        <w:tc>
          <w:tcPr>
            <w:tcW w:w="1461" w:type="dxa"/>
            <w:tcBorders>
              <w:top w:val="single" w:sz="4" w:space="0" w:color="auto"/>
              <w:left w:val="nil"/>
              <w:bottom w:val="single" w:sz="4" w:space="0" w:color="auto"/>
              <w:right w:val="single" w:sz="4" w:space="0" w:color="auto"/>
            </w:tcBorders>
            <w:vAlign w:val="center"/>
          </w:tcPr>
          <w:p w:rsidR="00843755" w:rsidRDefault="00843755">
            <w:pPr>
              <w:rPr>
                <w:color w:val="000000"/>
              </w:rPr>
            </w:pPr>
          </w:p>
        </w:tc>
        <w:tc>
          <w:tcPr>
            <w:tcW w:w="1796" w:type="dxa"/>
            <w:tcBorders>
              <w:top w:val="single" w:sz="4" w:space="0" w:color="auto"/>
              <w:left w:val="nil"/>
              <w:bottom w:val="single" w:sz="4" w:space="0" w:color="auto"/>
              <w:right w:val="single" w:sz="4" w:space="0" w:color="auto"/>
            </w:tcBorders>
            <w:hideMark/>
          </w:tcPr>
          <w:p w:rsidR="00843755" w:rsidRDefault="00843755">
            <w:r>
              <w:rPr>
                <w:color w:val="000000"/>
              </w:rPr>
              <w:t>Najmniejsza wartość - 2 pkt, największa - 0 pkt, pozostałe proporcjonalnie</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90</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Min TE dla EPI (256x256 matryca)</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 2,7 ms, podać</w:t>
            </w:r>
          </w:p>
        </w:tc>
        <w:tc>
          <w:tcPr>
            <w:tcW w:w="1461" w:type="dxa"/>
            <w:tcBorders>
              <w:top w:val="single" w:sz="4" w:space="0" w:color="auto"/>
              <w:left w:val="nil"/>
              <w:bottom w:val="single" w:sz="4" w:space="0" w:color="auto"/>
              <w:right w:val="single" w:sz="4" w:space="0" w:color="auto"/>
            </w:tcBorders>
            <w:vAlign w:val="center"/>
          </w:tcPr>
          <w:p w:rsidR="00843755" w:rsidRDefault="00843755">
            <w:pPr>
              <w:rPr>
                <w:color w:val="000000"/>
              </w:rPr>
            </w:pPr>
          </w:p>
        </w:tc>
        <w:tc>
          <w:tcPr>
            <w:tcW w:w="1796" w:type="dxa"/>
            <w:tcBorders>
              <w:top w:val="single" w:sz="4" w:space="0" w:color="auto"/>
              <w:left w:val="nil"/>
              <w:bottom w:val="single" w:sz="4" w:space="0" w:color="auto"/>
              <w:right w:val="single" w:sz="4" w:space="0" w:color="auto"/>
            </w:tcBorders>
            <w:hideMark/>
          </w:tcPr>
          <w:p w:rsidR="00843755" w:rsidRDefault="00843755">
            <w:r>
              <w:rPr>
                <w:color w:val="000000"/>
              </w:rPr>
              <w:t>Najmniejsza wartość - 2 pkt, największa - 0 pkt, pozostałe proporcjonalnie</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91.a</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Specjalna sekwencja 3D pracująca z parametrem TE ≤ 20 µs, widocznym w parametrach sekwencji, możliwa do wykonania co najmniej na jednej z zaoferowanych cewek wielokanałowych.</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Tak / Nie; Jeśli Tak, podać nazwę sekwencji</w:t>
            </w:r>
          </w:p>
        </w:tc>
        <w:tc>
          <w:tcPr>
            <w:tcW w:w="1461" w:type="dxa"/>
            <w:tcBorders>
              <w:top w:val="single" w:sz="4" w:space="0" w:color="auto"/>
              <w:left w:val="nil"/>
              <w:bottom w:val="single" w:sz="4" w:space="0" w:color="auto"/>
              <w:right w:val="single" w:sz="4" w:space="0" w:color="auto"/>
            </w:tcBorders>
            <w:vAlign w:val="center"/>
          </w:tcPr>
          <w:p w:rsidR="00843755" w:rsidRDefault="00843755">
            <w:pPr>
              <w:jc w:val="center"/>
              <w:rPr>
                <w:color w:val="000000"/>
              </w:rPr>
            </w:pP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Tak - 4 pkt, Nie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105.a</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color w:val="000000"/>
              </w:rPr>
            </w:pPr>
            <w:r>
              <w:rPr>
                <w:color w:val="000000"/>
              </w:rPr>
              <w:t>Dyfuzja DW-EPI łącznie z mapowaniem dróg nerwowych (</w:t>
            </w:r>
            <w:proofErr w:type="spellStart"/>
            <w:r>
              <w:rPr>
                <w:color w:val="000000"/>
              </w:rPr>
              <w:t>Trace</w:t>
            </w:r>
            <w:proofErr w:type="spellEnd"/>
            <w:r>
              <w:rPr>
                <w:color w:val="000000"/>
              </w:rPr>
              <w:t xml:space="preserve"> Map) i ADC Map, b min 20 s/mm2</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rFonts w:eastAsia="Times"/>
                <w:color w:val="000000"/>
              </w:rPr>
            </w:pPr>
            <w:r>
              <w:rPr>
                <w:color w:val="000000"/>
              </w:rPr>
              <w:t xml:space="preserve">Tak / Nie; </w:t>
            </w:r>
          </w:p>
        </w:tc>
        <w:tc>
          <w:tcPr>
            <w:tcW w:w="1461" w:type="dxa"/>
            <w:tcBorders>
              <w:top w:val="single" w:sz="4" w:space="0" w:color="auto"/>
              <w:left w:val="nil"/>
              <w:bottom w:val="single" w:sz="4" w:space="0" w:color="auto"/>
              <w:right w:val="single" w:sz="4" w:space="0" w:color="auto"/>
            </w:tcBorders>
            <w:vAlign w:val="center"/>
          </w:tcPr>
          <w:p w:rsidR="00843755" w:rsidRDefault="00843755">
            <w:pPr>
              <w:jc w:val="center"/>
              <w:rPr>
                <w:color w:val="000000"/>
              </w:rPr>
            </w:pP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Tak - 3 pkt, Nie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107.a</w:t>
            </w:r>
          </w:p>
        </w:tc>
        <w:tc>
          <w:tcPr>
            <w:tcW w:w="4253"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eastAsia="Calibri" w:hAnsi="GE Inspira"/>
              </w:rPr>
            </w:pPr>
            <w:r>
              <w:rPr>
                <w:rFonts w:ascii="GE Inspira" w:hAnsi="GE Inspira"/>
              </w:rPr>
              <w:t xml:space="preserve">Wysokorozdzielcze badania dyfuzyjne w oparciu o sekwencje EPI w ograniczonym </w:t>
            </w:r>
            <w:proofErr w:type="spellStart"/>
            <w:r>
              <w:rPr>
                <w:rFonts w:ascii="GE Inspira" w:hAnsi="GE Inspira"/>
              </w:rPr>
              <w:t>FoV</w:t>
            </w:r>
            <w:proofErr w:type="spellEnd"/>
            <w:r>
              <w:rPr>
                <w:rFonts w:ascii="GE Inspira" w:hAnsi="GE Inspira"/>
              </w:rPr>
              <w:t xml:space="preserve"> (polu widzenia) bez artefaktów typu </w:t>
            </w:r>
            <w:proofErr w:type="spellStart"/>
            <w:r>
              <w:rPr>
                <w:rFonts w:ascii="GE Inspira" w:hAnsi="GE Inspira"/>
              </w:rPr>
              <w:t>folding</w:t>
            </w:r>
            <w:proofErr w:type="spellEnd"/>
            <w:r>
              <w:rPr>
                <w:rFonts w:ascii="GE Inspira" w:hAnsi="GE Inspira"/>
              </w:rPr>
              <w:t>, uzyskane np. za pomocą selektywnego pobudzania fragmentu obrazowanej warstwy lub objętości (</w:t>
            </w:r>
            <w:proofErr w:type="spellStart"/>
            <w:r>
              <w:rPr>
                <w:rFonts w:ascii="GE Inspira" w:hAnsi="GE Inspira"/>
              </w:rPr>
              <w:t>ZOOMit</w:t>
            </w:r>
            <w:proofErr w:type="spellEnd"/>
            <w:r>
              <w:rPr>
                <w:rFonts w:ascii="GE Inspira" w:hAnsi="GE Inspira"/>
              </w:rPr>
              <w:t xml:space="preserve"> lub odpowiednio do nomenklatury producenta)</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both"/>
              <w:rPr>
                <w:rFonts w:ascii="GE Inspira" w:hAnsi="GE Inspira"/>
              </w:rPr>
            </w:pPr>
            <w:r>
              <w:rPr>
                <w:rFonts w:ascii="GE Inspira" w:hAnsi="GE Inspira"/>
              </w:rPr>
              <w:t>Tak / Nie</w:t>
            </w:r>
          </w:p>
        </w:tc>
        <w:tc>
          <w:tcPr>
            <w:tcW w:w="1461" w:type="dxa"/>
            <w:tcBorders>
              <w:top w:val="single" w:sz="4" w:space="0" w:color="auto"/>
              <w:left w:val="nil"/>
              <w:bottom w:val="single" w:sz="4" w:space="0" w:color="auto"/>
              <w:right w:val="single" w:sz="4" w:space="0" w:color="auto"/>
            </w:tcBorders>
            <w:vAlign w:val="center"/>
          </w:tcPr>
          <w:p w:rsidR="00843755" w:rsidRDefault="00843755">
            <w:pPr>
              <w:pStyle w:val="Akapitzlist"/>
              <w:spacing w:after="0" w:line="240" w:lineRule="auto"/>
              <w:ind w:left="0"/>
              <w:jc w:val="center"/>
              <w:rPr>
                <w:rFonts w:ascii="GE Inspira" w:hAnsi="GE Inspira"/>
              </w:rPr>
            </w:pP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center"/>
              <w:rPr>
                <w:rFonts w:ascii="GE Inspira" w:hAnsi="GE Inspira"/>
              </w:rPr>
            </w:pPr>
            <w:r>
              <w:rPr>
                <w:rFonts w:ascii="GE Inspira" w:hAnsi="GE Inspira"/>
              </w:rPr>
              <w:t>Tak – 5 pkt</w:t>
            </w:r>
          </w:p>
          <w:p w:rsidR="00843755" w:rsidRDefault="00843755">
            <w:pPr>
              <w:jc w:val="center"/>
              <w:rPr>
                <w:rFonts w:ascii="GE Inspira" w:hAnsi="GE Inspira"/>
              </w:rPr>
            </w:pPr>
            <w:r>
              <w:t>Nie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145.a</w:t>
            </w:r>
          </w:p>
        </w:tc>
        <w:tc>
          <w:tcPr>
            <w:tcW w:w="4253" w:type="dxa"/>
            <w:tcBorders>
              <w:top w:val="single" w:sz="4" w:space="0" w:color="auto"/>
              <w:left w:val="nil"/>
              <w:bottom w:val="single" w:sz="4" w:space="0" w:color="auto"/>
              <w:right w:val="single" w:sz="4" w:space="0" w:color="auto"/>
            </w:tcBorders>
            <w:hideMark/>
          </w:tcPr>
          <w:p w:rsidR="00843755" w:rsidRDefault="00843755">
            <w:pPr>
              <w:pStyle w:val="Akapitzlist"/>
              <w:spacing w:after="0" w:line="240" w:lineRule="auto"/>
              <w:ind w:left="0"/>
              <w:jc w:val="both"/>
              <w:rPr>
                <w:rFonts w:ascii="GE Inspira" w:eastAsia="Calibri" w:hAnsi="GE Inspira"/>
              </w:rPr>
            </w:pPr>
            <w:r>
              <w:rPr>
                <w:rFonts w:ascii="GE Inspira" w:hAnsi="GE Inspira"/>
              </w:rPr>
              <w:t xml:space="preserve">Wysokorozdzielcze badania dyfuzyjne w oparciu o sekwencje EPI w ograniczonym </w:t>
            </w:r>
            <w:proofErr w:type="spellStart"/>
            <w:r>
              <w:rPr>
                <w:rFonts w:ascii="GE Inspira" w:hAnsi="GE Inspira"/>
              </w:rPr>
              <w:t>FoV</w:t>
            </w:r>
            <w:proofErr w:type="spellEnd"/>
            <w:r>
              <w:rPr>
                <w:rFonts w:ascii="GE Inspira" w:hAnsi="GE Inspira"/>
              </w:rPr>
              <w:t xml:space="preserve"> (polu widzenia) bez artefaktów typu </w:t>
            </w:r>
            <w:proofErr w:type="spellStart"/>
            <w:r>
              <w:rPr>
                <w:rFonts w:ascii="GE Inspira" w:hAnsi="GE Inspira"/>
              </w:rPr>
              <w:t>folding</w:t>
            </w:r>
            <w:proofErr w:type="spellEnd"/>
            <w:r>
              <w:rPr>
                <w:rFonts w:ascii="GE Inspira" w:hAnsi="GE Inspira"/>
              </w:rPr>
              <w:t>, uzyskane np. za pomocą selektywnego pobudzania fragmentu obrazowanej warstwy lub objętości (</w:t>
            </w:r>
            <w:proofErr w:type="spellStart"/>
            <w:r>
              <w:rPr>
                <w:rFonts w:ascii="GE Inspira" w:hAnsi="GE Inspira"/>
              </w:rPr>
              <w:t>ZOOMit</w:t>
            </w:r>
            <w:proofErr w:type="spellEnd"/>
            <w:r>
              <w:rPr>
                <w:rFonts w:ascii="GE Inspira" w:hAnsi="GE Inspira"/>
              </w:rPr>
              <w:t xml:space="preserve"> lub odpowiednio do nomenklatury producenta)</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both"/>
              <w:rPr>
                <w:rFonts w:ascii="GE Inspira" w:hAnsi="GE Inspira"/>
              </w:rPr>
            </w:pPr>
            <w:r>
              <w:rPr>
                <w:rFonts w:ascii="GE Inspira" w:hAnsi="GE Inspira"/>
              </w:rPr>
              <w:t>Tak / Nie</w:t>
            </w:r>
          </w:p>
        </w:tc>
        <w:tc>
          <w:tcPr>
            <w:tcW w:w="1461" w:type="dxa"/>
            <w:tcBorders>
              <w:top w:val="single" w:sz="4" w:space="0" w:color="auto"/>
              <w:left w:val="nil"/>
              <w:bottom w:val="single" w:sz="4" w:space="0" w:color="auto"/>
              <w:right w:val="single" w:sz="4" w:space="0" w:color="auto"/>
            </w:tcBorders>
            <w:vAlign w:val="center"/>
          </w:tcPr>
          <w:p w:rsidR="00843755" w:rsidRDefault="00843755">
            <w:pPr>
              <w:pStyle w:val="Akapitzlist"/>
              <w:spacing w:after="0" w:line="240" w:lineRule="auto"/>
              <w:ind w:left="0"/>
              <w:jc w:val="center"/>
              <w:rPr>
                <w:rFonts w:ascii="GE Inspira" w:hAnsi="GE Inspira"/>
              </w:rPr>
            </w:pP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pStyle w:val="Akapitzlist"/>
              <w:spacing w:after="0" w:line="240" w:lineRule="auto"/>
              <w:ind w:left="0"/>
              <w:jc w:val="center"/>
              <w:rPr>
                <w:rFonts w:ascii="GE Inspira" w:hAnsi="GE Inspira"/>
              </w:rPr>
            </w:pPr>
            <w:r>
              <w:rPr>
                <w:rFonts w:ascii="GE Inspira" w:hAnsi="GE Inspira"/>
              </w:rPr>
              <w:t>Tak – 5 pkt</w:t>
            </w:r>
          </w:p>
          <w:p w:rsidR="00843755" w:rsidRDefault="00843755">
            <w:pPr>
              <w:jc w:val="center"/>
              <w:rPr>
                <w:rFonts w:ascii="GE Inspira" w:hAnsi="GE Inspira"/>
              </w:rPr>
            </w:pPr>
            <w:r>
              <w:t>Nie – 0 pkt</w:t>
            </w:r>
          </w:p>
        </w:tc>
      </w:tr>
    </w:tbl>
    <w:p w:rsidR="00843755" w:rsidRDefault="00843755" w:rsidP="00843755">
      <w:pPr>
        <w:pStyle w:val="Akapitzlist"/>
        <w:ind w:left="1080"/>
        <w:rPr>
          <w:rFonts w:ascii="GE Inspira" w:hAnsi="GE Inspira"/>
        </w:rPr>
      </w:pPr>
    </w:p>
    <w:p w:rsidR="00843755" w:rsidRDefault="00843755" w:rsidP="00843755">
      <w:pPr>
        <w:pStyle w:val="Akapitzlist"/>
        <w:numPr>
          <w:ilvl w:val="1"/>
          <w:numId w:val="12"/>
        </w:numPr>
        <w:spacing w:before="120" w:after="120" w:line="360" w:lineRule="auto"/>
        <w:rPr>
          <w:rFonts w:ascii="GE Inspira" w:hAnsi="GE Inspira"/>
        </w:rPr>
      </w:pPr>
      <w:r>
        <w:rPr>
          <w:rFonts w:ascii="GE Inspira" w:hAnsi="GE Inspira"/>
        </w:rPr>
        <w:t xml:space="preserve">Dobrał premiowanie funkcjonalności charakterystycznych dla rozwiązania firmy Siemens w taki sposób, że tylko dwa punkty zdobywają aż 30% (tj. 30 punktów) z możliwych do zdobycia 98 punktów. Działanie takie stworzyło znaczną, nieuzasadnioną przewagę punktową systemu 1.5T </w:t>
      </w:r>
      <w:proofErr w:type="spellStart"/>
      <w:r>
        <w:rPr>
          <w:rFonts w:ascii="GE Inspira" w:hAnsi="GE Inspira"/>
        </w:rPr>
        <w:t>Area</w:t>
      </w:r>
      <w:proofErr w:type="spellEnd"/>
      <w:r>
        <w:rPr>
          <w:rFonts w:ascii="GE Inspira" w:hAnsi="GE Inspira"/>
        </w:rPr>
        <w:t xml:space="preserve"> 64x204 firmy Siemens nad nowocześniejszym systemem 1.5T </w:t>
      </w:r>
      <w:proofErr w:type="spellStart"/>
      <w:r>
        <w:rPr>
          <w:rFonts w:ascii="GE Inspira" w:hAnsi="GE Inspira"/>
        </w:rPr>
        <w:t>Signa</w:t>
      </w:r>
      <w:proofErr w:type="spellEnd"/>
      <w:r>
        <w:rPr>
          <w:rFonts w:ascii="GE Inspira" w:hAnsi="GE Inspira"/>
        </w:rPr>
        <w:t xml:space="preserve"> Artist 128 formy GE.</w:t>
      </w:r>
    </w:p>
    <w:p w:rsidR="00843755" w:rsidRDefault="00843755" w:rsidP="00843755">
      <w:pPr>
        <w:pStyle w:val="Akapitzlist"/>
        <w:ind w:left="360"/>
        <w:rPr>
          <w:rFonts w:ascii="GE Inspira" w:hAnsi="GE Inspira"/>
          <w:b/>
        </w:rPr>
      </w:pPr>
      <w:r>
        <w:rPr>
          <w:rFonts w:ascii="GE Inspira" w:hAnsi="GE Inspira"/>
          <w:b/>
        </w:rPr>
        <w:t>Czy w zawiązku z tym, w celu umożliwienia naszej firmie złożenie konkurencyjnej oferty oraz ujednolicenia zasad premiowania, Zamawiający skoryguje zapisy w wymienionych poniżej punktach, do następujących postaci:</w:t>
      </w:r>
    </w:p>
    <w:p w:rsidR="00843755" w:rsidRDefault="00843755" w:rsidP="00843755">
      <w:pPr>
        <w:rPr>
          <w:rFonts w:ascii="GE Inspira" w:hAnsi="GE Inspira"/>
          <w:b/>
        </w:rPr>
      </w:pPr>
      <w:r>
        <w:rPr>
          <w:b/>
        </w:rPr>
        <w:t>W punkcie 29, z obecnych:</w:t>
      </w:r>
    </w:p>
    <w:tbl>
      <w:tblPr>
        <w:tblW w:w="10010" w:type="dxa"/>
        <w:tblInd w:w="-275" w:type="dxa"/>
        <w:tblLook w:val="04A0" w:firstRow="1" w:lastRow="0" w:firstColumn="1" w:lastColumn="0" w:noHBand="0" w:noVBand="1"/>
      </w:tblPr>
      <w:tblGrid>
        <w:gridCol w:w="615"/>
        <w:gridCol w:w="4687"/>
        <w:gridCol w:w="1694"/>
        <w:gridCol w:w="1523"/>
        <w:gridCol w:w="1491"/>
      </w:tblGrid>
      <w:tr w:rsidR="00843755" w:rsidTr="00843755">
        <w:trPr>
          <w:trHeight w:val="510"/>
        </w:trPr>
        <w:tc>
          <w:tcPr>
            <w:tcW w:w="616"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b/>
                <w:color w:val="000000"/>
                <w:lang w:val="en-US"/>
              </w:rPr>
            </w:pPr>
            <w:r>
              <w:rPr>
                <w:b/>
                <w:color w:val="000000"/>
              </w:rPr>
              <w:lastRenderedPageBreak/>
              <w:t>Lp.</w:t>
            </w:r>
          </w:p>
        </w:tc>
        <w:tc>
          <w:tcPr>
            <w:tcW w:w="4809" w:type="dxa"/>
            <w:tcBorders>
              <w:top w:val="single" w:sz="4" w:space="0" w:color="auto"/>
              <w:left w:val="nil"/>
              <w:bottom w:val="single" w:sz="4" w:space="0" w:color="auto"/>
              <w:right w:val="single" w:sz="4" w:space="0" w:color="auto"/>
            </w:tcBorders>
            <w:vAlign w:val="center"/>
            <w:hideMark/>
          </w:tcPr>
          <w:p w:rsidR="00843755" w:rsidRDefault="00843755">
            <w:pPr>
              <w:rPr>
                <w:b/>
                <w:color w:val="000000"/>
              </w:rPr>
            </w:pPr>
            <w:r>
              <w:rPr>
                <w:b/>
                <w:color w:val="000000"/>
              </w:rPr>
              <w:t>Opis wymaganych parametrów technicznych</w:t>
            </w:r>
          </w:p>
        </w:tc>
        <w:tc>
          <w:tcPr>
            <w:tcW w:w="1712"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lang w:val="en-US"/>
              </w:rPr>
            </w:pPr>
            <w:r>
              <w:rPr>
                <w:b/>
                <w:color w:val="000000"/>
              </w:rPr>
              <w:t>Parametr graniczny / wartość</w:t>
            </w:r>
          </w:p>
        </w:tc>
        <w:tc>
          <w:tcPr>
            <w:tcW w:w="1373"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Parametry oferowanego urządzenia</w:t>
            </w:r>
          </w:p>
        </w:tc>
        <w:tc>
          <w:tcPr>
            <w:tcW w:w="1500"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Punktacja</w:t>
            </w:r>
          </w:p>
        </w:tc>
      </w:tr>
      <w:tr w:rsidR="00843755" w:rsidTr="00843755">
        <w:trPr>
          <w:trHeight w:val="510"/>
        </w:trPr>
        <w:tc>
          <w:tcPr>
            <w:tcW w:w="616"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29</w:t>
            </w:r>
          </w:p>
        </w:tc>
        <w:tc>
          <w:tcPr>
            <w:tcW w:w="4809" w:type="dxa"/>
            <w:tcBorders>
              <w:top w:val="single" w:sz="4" w:space="0" w:color="auto"/>
              <w:left w:val="nil"/>
              <w:bottom w:val="single" w:sz="4" w:space="0" w:color="auto"/>
              <w:right w:val="single" w:sz="4" w:space="0" w:color="auto"/>
            </w:tcBorders>
            <w:vAlign w:val="center"/>
            <w:hideMark/>
          </w:tcPr>
          <w:p w:rsidR="00843755" w:rsidRDefault="00843755">
            <w:pPr>
              <w:rPr>
                <w:color w:val="000000"/>
              </w:rPr>
            </w:pPr>
            <w:r>
              <w:rPr>
                <w:color w:val="000000"/>
              </w:rPr>
              <w:t>Liczba niezależnych kanałów odbiorczych z pełną ścieżką cyfrową</w:t>
            </w:r>
          </w:p>
        </w:tc>
        <w:tc>
          <w:tcPr>
            <w:tcW w:w="1712"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 128, podać</w:t>
            </w:r>
          </w:p>
        </w:tc>
        <w:tc>
          <w:tcPr>
            <w:tcW w:w="137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500"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&gt; 128 – 20 pkt</w:t>
            </w:r>
            <w:r>
              <w:rPr>
                <w:color w:val="000000"/>
              </w:rPr>
              <w:br/>
              <w:t xml:space="preserve">= 128 – 0 pkt </w:t>
            </w:r>
          </w:p>
        </w:tc>
      </w:tr>
    </w:tbl>
    <w:p w:rsidR="00843755" w:rsidRDefault="00843755" w:rsidP="00843755">
      <w:pPr>
        <w:ind w:left="720"/>
        <w:rPr>
          <w:rFonts w:ascii="GE Inspira" w:eastAsia="Times" w:hAnsi="GE Inspira"/>
          <w:b/>
          <w:kern w:val="8"/>
          <w:sz w:val="22"/>
          <w:szCs w:val="22"/>
          <w:lang w:eastAsia="en-US"/>
        </w:rPr>
      </w:pPr>
      <w:r>
        <w:rPr>
          <w:b/>
        </w:rPr>
        <w:t>na:</w:t>
      </w:r>
    </w:p>
    <w:tbl>
      <w:tblPr>
        <w:tblW w:w="10010" w:type="dxa"/>
        <w:tblInd w:w="-275" w:type="dxa"/>
        <w:tblLook w:val="04A0" w:firstRow="1" w:lastRow="0" w:firstColumn="1" w:lastColumn="0" w:noHBand="0" w:noVBand="1"/>
      </w:tblPr>
      <w:tblGrid>
        <w:gridCol w:w="614"/>
        <w:gridCol w:w="4689"/>
        <w:gridCol w:w="1693"/>
        <w:gridCol w:w="1523"/>
        <w:gridCol w:w="1491"/>
      </w:tblGrid>
      <w:tr w:rsidR="00843755" w:rsidTr="00843755">
        <w:trPr>
          <w:trHeight w:val="510"/>
        </w:trPr>
        <w:tc>
          <w:tcPr>
            <w:tcW w:w="616"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b/>
                <w:color w:val="000000"/>
                <w:lang w:val="en-US"/>
              </w:rPr>
            </w:pPr>
            <w:r>
              <w:rPr>
                <w:b/>
                <w:color w:val="000000"/>
              </w:rPr>
              <w:t>Lp.</w:t>
            </w:r>
          </w:p>
        </w:tc>
        <w:tc>
          <w:tcPr>
            <w:tcW w:w="4809" w:type="dxa"/>
            <w:tcBorders>
              <w:top w:val="single" w:sz="4" w:space="0" w:color="auto"/>
              <w:left w:val="nil"/>
              <w:bottom w:val="single" w:sz="4" w:space="0" w:color="auto"/>
              <w:right w:val="single" w:sz="4" w:space="0" w:color="auto"/>
            </w:tcBorders>
            <w:vAlign w:val="center"/>
            <w:hideMark/>
          </w:tcPr>
          <w:p w:rsidR="00843755" w:rsidRDefault="00843755">
            <w:pPr>
              <w:rPr>
                <w:b/>
                <w:color w:val="000000"/>
              </w:rPr>
            </w:pPr>
            <w:r>
              <w:rPr>
                <w:b/>
                <w:color w:val="000000"/>
              </w:rPr>
              <w:t>Opis wymaganych parametrów technicznych</w:t>
            </w:r>
          </w:p>
        </w:tc>
        <w:tc>
          <w:tcPr>
            <w:tcW w:w="1712"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lang w:val="en-US"/>
              </w:rPr>
            </w:pPr>
            <w:r>
              <w:rPr>
                <w:b/>
                <w:color w:val="000000"/>
              </w:rPr>
              <w:t>Parametr graniczny / wartość</w:t>
            </w:r>
          </w:p>
        </w:tc>
        <w:tc>
          <w:tcPr>
            <w:tcW w:w="1373"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Parametry oferowanego urządzenia</w:t>
            </w:r>
          </w:p>
        </w:tc>
        <w:tc>
          <w:tcPr>
            <w:tcW w:w="1500"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Punktacja</w:t>
            </w:r>
          </w:p>
        </w:tc>
      </w:tr>
      <w:tr w:rsidR="00843755" w:rsidTr="00843755">
        <w:trPr>
          <w:trHeight w:val="510"/>
        </w:trPr>
        <w:tc>
          <w:tcPr>
            <w:tcW w:w="616"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29</w:t>
            </w:r>
          </w:p>
        </w:tc>
        <w:tc>
          <w:tcPr>
            <w:tcW w:w="4809" w:type="dxa"/>
            <w:tcBorders>
              <w:top w:val="single" w:sz="4" w:space="0" w:color="auto"/>
              <w:left w:val="nil"/>
              <w:bottom w:val="single" w:sz="4" w:space="0" w:color="auto"/>
              <w:right w:val="single" w:sz="4" w:space="0" w:color="auto"/>
            </w:tcBorders>
            <w:vAlign w:val="center"/>
            <w:hideMark/>
          </w:tcPr>
          <w:p w:rsidR="00843755" w:rsidRDefault="00843755">
            <w:pPr>
              <w:rPr>
                <w:color w:val="000000"/>
              </w:rPr>
            </w:pPr>
            <w:r>
              <w:rPr>
                <w:color w:val="000000"/>
              </w:rPr>
              <w:t xml:space="preserve">Liczba niezależnych kanałów odbiorczych z pełną ścieżką cyfrową (wzmacniacz, przetwornik analogowo-cyfrowy, element rekonstruktora), które mogą być wykorzystane jednocześnie w jednym pojedynczym skanie i w jednym pojedynczym </w:t>
            </w:r>
            <w:proofErr w:type="spellStart"/>
            <w:r>
              <w:rPr>
                <w:color w:val="000000"/>
              </w:rPr>
              <w:t>FoV</w:t>
            </w:r>
            <w:proofErr w:type="spellEnd"/>
            <w:r>
              <w:rPr>
                <w:color w:val="000000"/>
              </w:rPr>
              <w:t>, każdy generując niezależny obraz cząstkowy</w:t>
            </w:r>
          </w:p>
        </w:tc>
        <w:tc>
          <w:tcPr>
            <w:tcW w:w="1712"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 128, podać</w:t>
            </w:r>
          </w:p>
        </w:tc>
        <w:tc>
          <w:tcPr>
            <w:tcW w:w="137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500"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&gt; 128 – 3 pkt</w:t>
            </w:r>
            <w:r>
              <w:rPr>
                <w:color w:val="000000"/>
              </w:rPr>
              <w:br/>
              <w:t xml:space="preserve">= 128 – 0 pkt </w:t>
            </w:r>
          </w:p>
        </w:tc>
      </w:tr>
    </w:tbl>
    <w:p w:rsidR="00843755" w:rsidRDefault="00843755" w:rsidP="00843755">
      <w:pPr>
        <w:rPr>
          <w:rFonts w:ascii="GE Inspira" w:eastAsia="Times" w:hAnsi="GE Inspira"/>
          <w:kern w:val="8"/>
          <w:sz w:val="22"/>
          <w:szCs w:val="22"/>
          <w:lang w:eastAsia="en-US"/>
        </w:rPr>
      </w:pPr>
    </w:p>
    <w:p w:rsidR="00843755" w:rsidRDefault="00843755" w:rsidP="00843755">
      <w:pPr>
        <w:rPr>
          <w:b/>
        </w:rPr>
      </w:pPr>
      <w:r>
        <w:rPr>
          <w:b/>
        </w:rPr>
        <w:t>W punkcie 67, z obecnych:</w:t>
      </w:r>
    </w:p>
    <w:tbl>
      <w:tblPr>
        <w:tblW w:w="10010" w:type="dxa"/>
        <w:tblInd w:w="-275" w:type="dxa"/>
        <w:tblLook w:val="04A0" w:firstRow="1" w:lastRow="0" w:firstColumn="1" w:lastColumn="0" w:noHBand="0" w:noVBand="1"/>
      </w:tblPr>
      <w:tblGrid>
        <w:gridCol w:w="615"/>
        <w:gridCol w:w="4690"/>
        <w:gridCol w:w="1692"/>
        <w:gridCol w:w="1523"/>
        <w:gridCol w:w="1490"/>
      </w:tblGrid>
      <w:tr w:rsidR="00843755" w:rsidTr="00843755">
        <w:trPr>
          <w:trHeight w:val="510"/>
        </w:trPr>
        <w:tc>
          <w:tcPr>
            <w:tcW w:w="616"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b/>
                <w:color w:val="000000"/>
                <w:lang w:val="en-US"/>
              </w:rPr>
            </w:pPr>
            <w:r>
              <w:rPr>
                <w:b/>
                <w:color w:val="000000"/>
              </w:rPr>
              <w:t>Lp.</w:t>
            </w:r>
          </w:p>
        </w:tc>
        <w:tc>
          <w:tcPr>
            <w:tcW w:w="4809" w:type="dxa"/>
            <w:tcBorders>
              <w:top w:val="single" w:sz="4" w:space="0" w:color="auto"/>
              <w:left w:val="nil"/>
              <w:bottom w:val="single" w:sz="4" w:space="0" w:color="auto"/>
              <w:right w:val="single" w:sz="4" w:space="0" w:color="auto"/>
            </w:tcBorders>
            <w:vAlign w:val="center"/>
            <w:hideMark/>
          </w:tcPr>
          <w:p w:rsidR="00843755" w:rsidRDefault="00843755">
            <w:pPr>
              <w:rPr>
                <w:b/>
                <w:color w:val="000000"/>
              </w:rPr>
            </w:pPr>
            <w:r>
              <w:rPr>
                <w:b/>
                <w:color w:val="000000"/>
              </w:rPr>
              <w:t>Opis wymaganych parametrów technicznych</w:t>
            </w:r>
          </w:p>
        </w:tc>
        <w:tc>
          <w:tcPr>
            <w:tcW w:w="1712"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lang w:val="en-US"/>
              </w:rPr>
            </w:pPr>
            <w:r>
              <w:rPr>
                <w:b/>
                <w:color w:val="000000"/>
              </w:rPr>
              <w:t>Parametr graniczny / wartość</w:t>
            </w:r>
          </w:p>
        </w:tc>
        <w:tc>
          <w:tcPr>
            <w:tcW w:w="1373"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Parametry oferowanego urządzenia</w:t>
            </w:r>
          </w:p>
        </w:tc>
        <w:tc>
          <w:tcPr>
            <w:tcW w:w="1500"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Punktacja</w:t>
            </w:r>
          </w:p>
        </w:tc>
      </w:tr>
      <w:tr w:rsidR="00843755" w:rsidTr="00843755">
        <w:trPr>
          <w:trHeight w:val="510"/>
        </w:trPr>
        <w:tc>
          <w:tcPr>
            <w:tcW w:w="616"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67</w:t>
            </w:r>
          </w:p>
        </w:tc>
        <w:tc>
          <w:tcPr>
            <w:tcW w:w="4809" w:type="dxa"/>
            <w:tcBorders>
              <w:top w:val="single" w:sz="4" w:space="0" w:color="auto"/>
              <w:left w:val="nil"/>
              <w:bottom w:val="single" w:sz="4" w:space="0" w:color="auto"/>
              <w:right w:val="single" w:sz="4" w:space="0" w:color="auto"/>
            </w:tcBorders>
            <w:vAlign w:val="center"/>
            <w:hideMark/>
          </w:tcPr>
          <w:p w:rsidR="00843755" w:rsidRDefault="00843755">
            <w:pPr>
              <w:rPr>
                <w:color w:val="000000"/>
              </w:rPr>
            </w:pPr>
            <w:r>
              <w:rPr>
                <w:color w:val="000000"/>
              </w:rPr>
              <w:t xml:space="preserve">Dedykowane oprogramowanie umożliwiające zautomatyzowane przeprowadzanie badań do celów procesu planowania radioterapii nadzorowany przez skaner, to jest taki, w którym kontrolę nad postępowaniem operatora, na każdym etapie badania nadzoruje oprogramowanie, w oparciu o wybraną przez operatora strategię postępowania z danym pacjentem, Zapewniający spójność pomiarową oraz geometryczną (RT </w:t>
            </w:r>
            <w:proofErr w:type="spellStart"/>
            <w:r>
              <w:rPr>
                <w:color w:val="000000"/>
              </w:rPr>
              <w:t>Dot</w:t>
            </w:r>
            <w:proofErr w:type="spellEnd"/>
            <w:r>
              <w:rPr>
                <w:color w:val="000000"/>
              </w:rPr>
              <w:t xml:space="preserve"> Engine lub odpowiednio do nomenklatury producenta)</w:t>
            </w:r>
          </w:p>
        </w:tc>
        <w:tc>
          <w:tcPr>
            <w:tcW w:w="1712"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Tak / Nie, jeżeli tak - podać nazwę</w:t>
            </w:r>
          </w:p>
        </w:tc>
        <w:tc>
          <w:tcPr>
            <w:tcW w:w="137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500"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Tak - 10 pkt</w:t>
            </w:r>
          </w:p>
          <w:p w:rsidR="00843755" w:rsidRDefault="00843755">
            <w:pPr>
              <w:jc w:val="center"/>
              <w:rPr>
                <w:color w:val="000000"/>
              </w:rPr>
            </w:pPr>
            <w:r>
              <w:rPr>
                <w:color w:val="000000"/>
              </w:rPr>
              <w:t>Nie - 0 pkt</w:t>
            </w:r>
          </w:p>
        </w:tc>
      </w:tr>
    </w:tbl>
    <w:p w:rsidR="00843755" w:rsidRDefault="00843755" w:rsidP="00843755">
      <w:pPr>
        <w:ind w:left="720"/>
        <w:rPr>
          <w:rFonts w:ascii="GE Inspira" w:eastAsia="Times" w:hAnsi="GE Inspira"/>
          <w:b/>
          <w:kern w:val="8"/>
          <w:sz w:val="22"/>
          <w:szCs w:val="22"/>
          <w:lang w:eastAsia="en-US"/>
        </w:rPr>
      </w:pPr>
      <w:r>
        <w:rPr>
          <w:b/>
        </w:rPr>
        <w:t>na:</w:t>
      </w:r>
    </w:p>
    <w:tbl>
      <w:tblPr>
        <w:tblW w:w="10010" w:type="dxa"/>
        <w:tblInd w:w="-275" w:type="dxa"/>
        <w:tblLook w:val="04A0" w:firstRow="1" w:lastRow="0" w:firstColumn="1" w:lastColumn="0" w:noHBand="0" w:noVBand="1"/>
      </w:tblPr>
      <w:tblGrid>
        <w:gridCol w:w="613"/>
        <w:gridCol w:w="4692"/>
        <w:gridCol w:w="1693"/>
        <w:gridCol w:w="1523"/>
        <w:gridCol w:w="1489"/>
      </w:tblGrid>
      <w:tr w:rsidR="00843755" w:rsidTr="00843755">
        <w:trPr>
          <w:trHeight w:val="510"/>
        </w:trPr>
        <w:tc>
          <w:tcPr>
            <w:tcW w:w="61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b/>
                <w:color w:val="000000"/>
                <w:lang w:val="en-US"/>
              </w:rPr>
            </w:pPr>
            <w:r>
              <w:rPr>
                <w:b/>
                <w:color w:val="000000"/>
              </w:rPr>
              <w:t>Lp.</w:t>
            </w:r>
          </w:p>
        </w:tc>
        <w:tc>
          <w:tcPr>
            <w:tcW w:w="4741" w:type="dxa"/>
            <w:tcBorders>
              <w:top w:val="single" w:sz="4" w:space="0" w:color="auto"/>
              <w:left w:val="nil"/>
              <w:bottom w:val="single" w:sz="4" w:space="0" w:color="auto"/>
              <w:right w:val="single" w:sz="4" w:space="0" w:color="auto"/>
            </w:tcBorders>
            <w:vAlign w:val="center"/>
            <w:hideMark/>
          </w:tcPr>
          <w:p w:rsidR="00843755" w:rsidRDefault="00843755">
            <w:pPr>
              <w:rPr>
                <w:b/>
                <w:color w:val="000000"/>
              </w:rPr>
            </w:pPr>
            <w:r>
              <w:rPr>
                <w:b/>
                <w:color w:val="000000"/>
              </w:rPr>
              <w:t>Opis wymaganych parametrów technicznych</w:t>
            </w:r>
          </w:p>
        </w:tc>
        <w:tc>
          <w:tcPr>
            <w:tcW w:w="1701"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lang w:val="en-US"/>
              </w:rPr>
            </w:pPr>
            <w:r>
              <w:rPr>
                <w:b/>
                <w:color w:val="000000"/>
              </w:rPr>
              <w:t>Parametr graniczny / wartość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Parametry oferowanego urządzenia</w:t>
            </w:r>
          </w:p>
        </w:tc>
        <w:tc>
          <w:tcPr>
            <w:tcW w:w="1493"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Punktacja</w:t>
            </w:r>
          </w:p>
        </w:tc>
      </w:tr>
      <w:tr w:rsidR="00843755" w:rsidTr="00843755">
        <w:trPr>
          <w:trHeight w:val="510"/>
        </w:trPr>
        <w:tc>
          <w:tcPr>
            <w:tcW w:w="61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67</w:t>
            </w:r>
          </w:p>
        </w:tc>
        <w:tc>
          <w:tcPr>
            <w:tcW w:w="4741" w:type="dxa"/>
            <w:tcBorders>
              <w:top w:val="single" w:sz="4" w:space="0" w:color="auto"/>
              <w:left w:val="nil"/>
              <w:bottom w:val="single" w:sz="4" w:space="0" w:color="auto"/>
              <w:right w:val="single" w:sz="4" w:space="0" w:color="auto"/>
            </w:tcBorders>
            <w:vAlign w:val="center"/>
            <w:hideMark/>
          </w:tcPr>
          <w:p w:rsidR="00843755" w:rsidRDefault="00843755">
            <w:pPr>
              <w:rPr>
                <w:color w:val="000000"/>
              </w:rPr>
            </w:pPr>
            <w:r>
              <w:rPr>
                <w:color w:val="000000"/>
              </w:rPr>
              <w:t xml:space="preserve">Dedykowane oprogramowanie umożliwiające zautomatyzowane przeprowadzanie badań do celów procesu planowania radioterapii nadzorowany przez skaner, to jest taki, w którym kontrolę nad postępowaniem operatora, na każdym etapie badania nadzoruje oprogramowanie, w oparciu o wybraną przez operatora strategię postępowania z danym pacjentem, Zapewniający spójność pomiarową oraz </w:t>
            </w:r>
            <w:r>
              <w:rPr>
                <w:color w:val="000000"/>
              </w:rPr>
              <w:lastRenderedPageBreak/>
              <w:t xml:space="preserve">geometryczną (RT </w:t>
            </w:r>
            <w:proofErr w:type="spellStart"/>
            <w:r>
              <w:rPr>
                <w:color w:val="000000"/>
              </w:rPr>
              <w:t>Dot</w:t>
            </w:r>
            <w:proofErr w:type="spellEnd"/>
            <w:r>
              <w:rPr>
                <w:color w:val="000000"/>
              </w:rPr>
              <w:t xml:space="preserve"> Engine lub odpowiednio do nomenklatury producenta)</w:t>
            </w:r>
          </w:p>
          <w:p w:rsidR="00843755" w:rsidRDefault="00843755">
            <w:pPr>
              <w:rPr>
                <w:color w:val="000000"/>
              </w:rPr>
            </w:pPr>
            <w:r>
              <w:rPr>
                <w:color w:val="000000"/>
              </w:rPr>
              <w:t xml:space="preserve">lub </w:t>
            </w:r>
          </w:p>
          <w:p w:rsidR="00843755" w:rsidRDefault="00843755">
            <w:pPr>
              <w:rPr>
                <w:color w:val="000000"/>
              </w:rPr>
            </w:pPr>
            <w:r>
              <w:rPr>
                <w:color w:val="000000"/>
              </w:rPr>
              <w:t>zautomatyzowane oprogramowanie do celów procesu planowania radioterapii w sposób ograniczający ilość kroków, i wyposażone w mechanizmy takie jak:</w:t>
            </w:r>
          </w:p>
          <w:p w:rsidR="00843755" w:rsidRDefault="00843755">
            <w:pPr>
              <w:rPr>
                <w:color w:val="000000"/>
              </w:rPr>
            </w:pPr>
            <w:r>
              <w:rPr>
                <w:color w:val="000000"/>
              </w:rPr>
              <w:t>- instrukcje dla użytkownika "krok po kroku" zintegrowane z procedurą badania,</w:t>
            </w:r>
          </w:p>
          <w:p w:rsidR="00843755" w:rsidRDefault="00843755">
            <w:pPr>
              <w:rPr>
                <w:color w:val="000000"/>
              </w:rPr>
            </w:pPr>
            <w:r>
              <w:rPr>
                <w:color w:val="000000"/>
              </w:rPr>
              <w:t>- obrazy i wskazówki tekstowe wyświetlane dla każdego kroku</w:t>
            </w:r>
          </w:p>
          <w:p w:rsidR="00843755" w:rsidRDefault="00843755">
            <w:pPr>
              <w:rPr>
                <w:color w:val="000000"/>
              </w:rPr>
            </w:pPr>
            <w:r>
              <w:rPr>
                <w:color w:val="000000"/>
              </w:rPr>
              <w:t>- automatyczne propagowanie zaplanowanych warstw do wszystkich sekwencji w tych samych płaszczyznach</w:t>
            </w:r>
          </w:p>
          <w:p w:rsidR="00843755" w:rsidRDefault="00843755">
            <w:pPr>
              <w:rPr>
                <w:color w:val="000000"/>
              </w:rPr>
            </w:pPr>
            <w:r>
              <w:rPr>
                <w:color w:val="000000"/>
              </w:rPr>
              <w:t>- automatyczne komendy głosowe dla pacjenta przy badaniach na wstrzymanym oddechu</w:t>
            </w:r>
          </w:p>
          <w:p w:rsidR="00843755" w:rsidRDefault="00843755">
            <w:pPr>
              <w:rPr>
                <w:color w:val="000000"/>
              </w:rPr>
            </w:pPr>
            <w:r>
              <w:rPr>
                <w:color w:val="000000"/>
              </w:rPr>
              <w:t xml:space="preserve">- automatyczna lokalizacja tzw. </w:t>
            </w:r>
            <w:proofErr w:type="spellStart"/>
            <w:r>
              <w:rPr>
                <w:color w:val="000000"/>
              </w:rPr>
              <w:t>navigatora</w:t>
            </w:r>
            <w:proofErr w:type="spellEnd"/>
          </w:p>
          <w:p w:rsidR="00843755" w:rsidRDefault="00843755">
            <w:pPr>
              <w:rPr>
                <w:color w:val="000000"/>
              </w:rPr>
            </w:pPr>
            <w:r>
              <w:rPr>
                <w:color w:val="000000"/>
              </w:rPr>
              <w:t>- automatyczny dobór optymalnej cewki do danej sekwencji/badania</w:t>
            </w:r>
          </w:p>
          <w:p w:rsidR="00843755" w:rsidRDefault="00843755">
            <w:pPr>
              <w:rPr>
                <w:color w:val="000000"/>
              </w:rPr>
            </w:pPr>
            <w:r>
              <w:rPr>
                <w:color w:val="000000"/>
              </w:rPr>
              <w:t xml:space="preserve">- automatyczne rekonstrukcje, np. dla sekwencji </w:t>
            </w:r>
            <w:proofErr w:type="spellStart"/>
            <w:r>
              <w:rPr>
                <w:color w:val="000000"/>
              </w:rPr>
              <w:t>angio</w:t>
            </w:r>
            <w:proofErr w:type="spellEnd"/>
            <w:r>
              <w:rPr>
                <w:color w:val="000000"/>
              </w:rPr>
              <w:t>, 3D</w:t>
            </w:r>
          </w:p>
          <w:p w:rsidR="00843755" w:rsidRDefault="00843755">
            <w:pPr>
              <w:rPr>
                <w:color w:val="000000"/>
              </w:rPr>
            </w:pPr>
            <w:r>
              <w:rPr>
                <w:color w:val="000000"/>
              </w:rPr>
              <w:t xml:space="preserve">- wyświetlanie krzywych bramkowanie (EKG, oddechowego, </w:t>
            </w:r>
            <w:proofErr w:type="spellStart"/>
            <w:r>
              <w:rPr>
                <w:color w:val="000000"/>
              </w:rPr>
              <w:t>obwodowego-PG</w:t>
            </w:r>
            <w:proofErr w:type="spellEnd"/>
            <w:r>
              <w:rPr>
                <w:color w:val="000000"/>
              </w:rPr>
              <w:t>) na aparacie</w:t>
            </w:r>
          </w:p>
          <w:p w:rsidR="00843755" w:rsidRDefault="00843755">
            <w:pPr>
              <w:rPr>
                <w:color w:val="000000"/>
              </w:rPr>
            </w:pPr>
            <w:r>
              <w:rPr>
                <w:color w:val="000000"/>
              </w:rPr>
              <w:t>- automatyczną optymalizację sekwencji na wstrzymanym oddechu</w:t>
            </w:r>
          </w:p>
          <w:p w:rsidR="00843755" w:rsidRDefault="00843755">
            <w:pPr>
              <w:rPr>
                <w:color w:val="000000"/>
              </w:rPr>
            </w:pPr>
            <w:r>
              <w:rPr>
                <w:color w:val="000000"/>
              </w:rPr>
              <w:t xml:space="preserve">- wyświetlanie rozmiaru </w:t>
            </w:r>
            <w:proofErr w:type="spellStart"/>
            <w:r>
              <w:rPr>
                <w:color w:val="000000"/>
              </w:rPr>
              <w:t>pixela</w:t>
            </w:r>
            <w:proofErr w:type="spellEnd"/>
            <w:r>
              <w:rPr>
                <w:color w:val="000000"/>
              </w:rPr>
              <w:t xml:space="preserve"> oraz </w:t>
            </w:r>
            <w:proofErr w:type="spellStart"/>
            <w:r>
              <w:rPr>
                <w:color w:val="000000"/>
              </w:rPr>
              <w:t>bandwidth</w:t>
            </w:r>
            <w:proofErr w:type="spellEnd"/>
            <w:r>
              <w:rPr>
                <w:color w:val="000000"/>
              </w:rPr>
              <w:t xml:space="preserve"> (potrzebne przy planowaniu sekwencji lub badań naukowych)</w:t>
            </w:r>
          </w:p>
        </w:tc>
        <w:tc>
          <w:tcPr>
            <w:tcW w:w="170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lastRenderedPageBreak/>
              <w:t>Tak / Nie, jeżeli tak - podać nazwę</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49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Tak - 3 pkt</w:t>
            </w:r>
          </w:p>
          <w:p w:rsidR="00843755" w:rsidRDefault="00843755">
            <w:pPr>
              <w:jc w:val="center"/>
              <w:rPr>
                <w:color w:val="000000"/>
              </w:rPr>
            </w:pPr>
            <w:r>
              <w:rPr>
                <w:color w:val="000000"/>
              </w:rPr>
              <w:t>Nie - 0 pkt</w:t>
            </w:r>
          </w:p>
        </w:tc>
      </w:tr>
    </w:tbl>
    <w:p w:rsidR="00843755" w:rsidRDefault="00843755" w:rsidP="00843755">
      <w:pPr>
        <w:pStyle w:val="Akapitzlist"/>
        <w:ind w:left="1080"/>
        <w:rPr>
          <w:rFonts w:ascii="GE Inspira" w:eastAsia="Calibri" w:hAnsi="GE Inspira"/>
        </w:rPr>
      </w:pPr>
    </w:p>
    <w:p w:rsidR="00843755" w:rsidRDefault="00843755" w:rsidP="00843755">
      <w:pPr>
        <w:pStyle w:val="Akapitzlist"/>
        <w:numPr>
          <w:ilvl w:val="1"/>
          <w:numId w:val="12"/>
        </w:numPr>
        <w:spacing w:before="120" w:after="120" w:line="360" w:lineRule="auto"/>
        <w:rPr>
          <w:rFonts w:ascii="GE Inspira" w:hAnsi="GE Inspira"/>
        </w:rPr>
      </w:pPr>
      <w:r>
        <w:rPr>
          <w:rFonts w:ascii="GE Inspira" w:hAnsi="GE Inspira"/>
        </w:rPr>
        <w:t>Zwiększył (w porównaniu do poprzedniej edycji „Postępowania o udzielenie zamówienia publicznego o wartości szacunkowej powyżej 211 000 euro, prowadzonego w trybie przetargu nieograniczonego na: Dostawę wyposażenia i aparatury medycznej w ramach zadania „Budowa Siedleckiego Ośrodka Onkologii””) wartości punktacji dla niektórych punktów, dodatkowo, w sposób nieuzasadniony, stwarzając uprzywilejowane warunki ofercie firmy Siemens.</w:t>
      </w:r>
    </w:p>
    <w:p w:rsidR="00843755" w:rsidRDefault="00843755" w:rsidP="00843755">
      <w:pPr>
        <w:pStyle w:val="Akapitzlist"/>
        <w:ind w:left="360"/>
        <w:rPr>
          <w:rFonts w:ascii="GE Inspira" w:hAnsi="GE Inspira"/>
          <w:b/>
        </w:rPr>
      </w:pPr>
      <w:r>
        <w:rPr>
          <w:rFonts w:ascii="GE Inspira" w:hAnsi="GE Inspira"/>
          <w:b/>
        </w:rPr>
        <w:t>Czy w zawiązku z tym, w celu umożliwienia naszej firmie złożenie konkurencyjnej oferty oraz utrzymania spójności z poprzednią edycją postepowania przetargowego, Zamawiający skoryguje zapisy w wymienionych poniżej punktach, do następujących postaci:</w:t>
      </w:r>
    </w:p>
    <w:tbl>
      <w:tblPr>
        <w:tblW w:w="10010" w:type="dxa"/>
        <w:tblInd w:w="-275" w:type="dxa"/>
        <w:tblLook w:val="04A0" w:firstRow="1" w:lastRow="0" w:firstColumn="1" w:lastColumn="0" w:noHBand="0" w:noVBand="1"/>
      </w:tblPr>
      <w:tblGrid>
        <w:gridCol w:w="714"/>
        <w:gridCol w:w="4209"/>
        <w:gridCol w:w="1772"/>
        <w:gridCol w:w="1523"/>
        <w:gridCol w:w="1792"/>
      </w:tblGrid>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ascii="GE Inspira" w:hAnsi="GE Inspira"/>
                <w:b/>
                <w:color w:val="000000"/>
              </w:rPr>
            </w:pPr>
            <w:r>
              <w:rPr>
                <w:b/>
                <w:color w:val="000000"/>
              </w:rPr>
              <w:t>Lp.</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b/>
                <w:color w:val="000000"/>
              </w:rPr>
            </w:pPr>
            <w:r>
              <w:rPr>
                <w:b/>
                <w:color w:val="000000"/>
              </w:rPr>
              <w:t>Opis wymaganych parametrów technicznych</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lang w:val="en-US"/>
              </w:rPr>
            </w:pPr>
            <w:r>
              <w:rPr>
                <w:b/>
                <w:color w:val="000000"/>
              </w:rPr>
              <w:t>Parametr graniczny / wartość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Parametry oferowanego urządzenia</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b/>
                <w:color w:val="000000"/>
              </w:rPr>
            </w:pPr>
            <w:r>
              <w:rPr>
                <w:b/>
                <w:color w:val="000000"/>
              </w:rPr>
              <w:t>Punktacja</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9</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 xml:space="preserve">Całkowita długość </w:t>
            </w:r>
            <w:proofErr w:type="spellStart"/>
            <w:r>
              <w:rPr>
                <w:color w:val="000000"/>
              </w:rPr>
              <w:t>gantry</w:t>
            </w:r>
            <w:proofErr w:type="spellEnd"/>
            <w:r>
              <w:rPr>
                <w:color w:val="000000"/>
              </w:rPr>
              <w:t xml:space="preserve"> (magnes z systemem „</w:t>
            </w:r>
            <w:proofErr w:type="spellStart"/>
            <w:r>
              <w:rPr>
                <w:color w:val="000000"/>
              </w:rPr>
              <w:t>shim</w:t>
            </w:r>
            <w:proofErr w:type="spellEnd"/>
            <w:r>
              <w:rPr>
                <w:color w:val="000000"/>
              </w:rPr>
              <w:t>”, cewkami gradientowymi i cewką całego ciała) liczona od przedniej do tylnej obudowy zewn.</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 190 cm, podać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rPr>
                <w:color w:val="000000"/>
              </w:rPr>
            </w:pPr>
            <w:r>
              <w:rPr>
                <w:color w:val="000000"/>
              </w:rPr>
              <w:t>&lt; 160 cm – 2 pkt</w:t>
            </w:r>
            <w:r>
              <w:rPr>
                <w:color w:val="000000"/>
              </w:rPr>
              <w:br/>
              <w:t>≥ 160 cm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lastRenderedPageBreak/>
              <w:t>12</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Maksymalna amplituda dla jednej osi  w maksymalnym polu widzenia FOV w każdej osi równocześnie</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 xml:space="preserve">≥ 44 </w:t>
            </w:r>
            <w:proofErr w:type="spellStart"/>
            <w:r>
              <w:rPr>
                <w:color w:val="000000"/>
              </w:rPr>
              <w:t>mT</w:t>
            </w:r>
            <w:proofErr w:type="spellEnd"/>
            <w:r>
              <w:rPr>
                <w:color w:val="000000"/>
              </w:rPr>
              <w:t>/m, podać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rPr>
                <w:color w:val="000000"/>
              </w:rPr>
            </w:pPr>
            <w:r>
              <w:rPr>
                <w:color w:val="000000"/>
              </w:rPr>
              <w:t xml:space="preserve">= 44 </w:t>
            </w:r>
            <w:proofErr w:type="spellStart"/>
            <w:r>
              <w:rPr>
                <w:color w:val="000000"/>
              </w:rPr>
              <w:t>mT</w:t>
            </w:r>
            <w:proofErr w:type="spellEnd"/>
            <w:r>
              <w:rPr>
                <w:color w:val="000000"/>
              </w:rPr>
              <w:t>/m - 0 pkt</w:t>
            </w:r>
            <w:r>
              <w:rPr>
                <w:color w:val="000000"/>
              </w:rPr>
              <w:br/>
              <w:t xml:space="preserve"> &gt; 44 </w:t>
            </w:r>
            <w:proofErr w:type="spellStart"/>
            <w:r>
              <w:rPr>
                <w:color w:val="000000"/>
              </w:rPr>
              <w:t>mT</w:t>
            </w:r>
            <w:proofErr w:type="spellEnd"/>
            <w:r>
              <w:rPr>
                <w:color w:val="000000"/>
              </w:rPr>
              <w:t>/m - 2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36</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 xml:space="preserve">Cyfrowa transmisja nadawczego sygnału MR pomiędzy maszynownią a pomieszczeniem badań zapewniający skuteczne dopasowanie nadajnika i odbiornika do optymalnej jakości i szybkości obrazowania (Direct RF </w:t>
            </w:r>
            <w:proofErr w:type="spellStart"/>
            <w:r>
              <w:rPr>
                <w:color w:val="000000"/>
              </w:rPr>
              <w:t>Transmit</w:t>
            </w:r>
            <w:proofErr w:type="spellEnd"/>
            <w:r>
              <w:rPr>
                <w:color w:val="000000"/>
              </w:rPr>
              <w:t xml:space="preserve"> lub równoważne, zgodnie z nomenklaturą producenta)</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Tak / Nie, jeżeli tak - podać nazwę</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rPr>
                <w:color w:val="000000"/>
                <w:lang w:val="en-US"/>
              </w:rPr>
            </w:pPr>
            <w:r>
              <w:rPr>
                <w:color w:val="000000"/>
              </w:rPr>
              <w:t>Bez oceny</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39</w:t>
            </w:r>
          </w:p>
        </w:tc>
        <w:tc>
          <w:tcPr>
            <w:tcW w:w="4253" w:type="dxa"/>
            <w:tcBorders>
              <w:top w:val="single" w:sz="4" w:space="0" w:color="auto"/>
              <w:left w:val="nil"/>
              <w:bottom w:val="single" w:sz="4" w:space="0" w:color="auto"/>
              <w:right w:val="single" w:sz="4" w:space="0" w:color="auto"/>
            </w:tcBorders>
            <w:hideMark/>
          </w:tcPr>
          <w:p w:rsidR="00843755" w:rsidRDefault="00843755">
            <w:pPr>
              <w:rPr>
                <w:rFonts w:eastAsia="Times"/>
              </w:rPr>
            </w:pPr>
            <w:r>
              <w:t xml:space="preserve">Tor transmisji nadawczego sygnału MR pomiędzy maszynownią a pomieszczeniem badań zbudowany w technologii optycznej (niegalwanicznej) zapewniający skuteczne dopasowanie nadajnika i odbiornika do optymalnej jakości i szybkości obrazowania (Direct RF </w:t>
            </w:r>
            <w:proofErr w:type="spellStart"/>
            <w:r>
              <w:t>Transmit</w:t>
            </w:r>
            <w:proofErr w:type="spellEnd"/>
            <w:r>
              <w:t xml:space="preserve"> lub równoważne, zgodnie z nomenklaturą producenta)</w:t>
            </w:r>
          </w:p>
        </w:tc>
        <w:tc>
          <w:tcPr>
            <w:tcW w:w="1783" w:type="dxa"/>
            <w:tcBorders>
              <w:top w:val="single" w:sz="4" w:space="0" w:color="auto"/>
              <w:left w:val="nil"/>
              <w:bottom w:val="single" w:sz="4" w:space="0" w:color="auto"/>
              <w:right w:val="single" w:sz="4" w:space="0" w:color="auto"/>
            </w:tcBorders>
            <w:hideMark/>
          </w:tcPr>
          <w:p w:rsidR="00843755" w:rsidRDefault="00843755">
            <w:pPr>
              <w:jc w:val="center"/>
            </w:pPr>
            <w:r>
              <w:t>Tak / Nie, jeżeli tak - podać nazwę</w:t>
            </w:r>
          </w:p>
        </w:tc>
        <w:tc>
          <w:tcPr>
            <w:tcW w:w="1461" w:type="dxa"/>
            <w:tcBorders>
              <w:top w:val="single" w:sz="4" w:space="0" w:color="auto"/>
              <w:left w:val="nil"/>
              <w:bottom w:val="single" w:sz="4" w:space="0" w:color="auto"/>
              <w:right w:val="single" w:sz="4" w:space="0" w:color="auto"/>
            </w:tcBorders>
          </w:tcPr>
          <w:p w:rsidR="00843755" w:rsidRDefault="00843755"/>
        </w:tc>
        <w:tc>
          <w:tcPr>
            <w:tcW w:w="1796" w:type="dxa"/>
            <w:tcBorders>
              <w:top w:val="single" w:sz="4" w:space="0" w:color="auto"/>
              <w:left w:val="nil"/>
              <w:bottom w:val="single" w:sz="4" w:space="0" w:color="auto"/>
              <w:right w:val="single" w:sz="4" w:space="0" w:color="auto"/>
            </w:tcBorders>
            <w:hideMark/>
          </w:tcPr>
          <w:p w:rsidR="00843755" w:rsidRDefault="00843755">
            <w:pPr>
              <w:rPr>
                <w:lang w:val="en-US"/>
              </w:rPr>
            </w:pPr>
            <w:r>
              <w:t>Tak - 1 pkt</w:t>
            </w:r>
          </w:p>
          <w:p w:rsidR="00843755" w:rsidRDefault="00843755">
            <w:r>
              <w:t>Nie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40</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Obciążenie płyty stołu łącznie z ruchem pionowym ≥ 200 kg</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Tak, podać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250 kg – 1 pkt</w:t>
            </w:r>
            <w:r>
              <w:rPr>
                <w:color w:val="000000"/>
              </w:rPr>
              <w:br/>
              <w:t>≥ 200 kg i &lt; 250 kg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52</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 xml:space="preserve">Akwizycja jednoczesna z automatycznym przesuwem stołu pacjenta - "spiralne obrazowanie MR" (technologia </w:t>
            </w:r>
            <w:proofErr w:type="spellStart"/>
            <w:r>
              <w:rPr>
                <w:color w:val="000000"/>
              </w:rPr>
              <w:t>TimCT</w:t>
            </w:r>
            <w:proofErr w:type="spellEnd"/>
            <w:r>
              <w:rPr>
                <w:color w:val="000000"/>
              </w:rPr>
              <w:t xml:space="preserve"> lub odpowiednio do nomenklatury producenta)</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Tak / Nie, jeżeli tak - podać nazwę</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Tak - 1 pkt</w:t>
            </w:r>
            <w:r>
              <w:rPr>
                <w:color w:val="000000"/>
              </w:rPr>
              <w:br/>
              <w:t>Nie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75</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Minimalny FOV (w osiach x, y i z)</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 1 cm, podać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xml:space="preserve"> = 1 cm - 0 pkt</w:t>
            </w:r>
            <w:r>
              <w:rPr>
                <w:color w:val="000000"/>
              </w:rPr>
              <w:br/>
              <w:t xml:space="preserve"> &lt; 1 cm - 2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77</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Minimalna grubość warstwy (skany 2D)</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 0,2 mm, podać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xml:space="preserve"> = 0,2 mm - 0 pkt</w:t>
            </w:r>
            <w:r>
              <w:rPr>
                <w:color w:val="000000"/>
              </w:rPr>
              <w:br/>
              <w:t xml:space="preserve"> &lt; 0,2 mm - 1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78</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Minimalna grubość warstwy (skany 3D)</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 0,1 mm, podać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xml:space="preserve"> = 0,1 mm - 0 pkt</w:t>
            </w:r>
            <w:r>
              <w:rPr>
                <w:color w:val="000000"/>
              </w:rPr>
              <w:br/>
              <w:t xml:space="preserve"> &lt; 0,1 mm - 1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111</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Pomiary DTI z różnymi kierunkami</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 150 kierunków, podać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xml:space="preserve"> = 150 - 0 pkt</w:t>
            </w:r>
            <w:r>
              <w:rPr>
                <w:color w:val="000000"/>
              </w:rPr>
              <w:br/>
              <w:t xml:space="preserve"> &gt; 150 - 1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202</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Automatyczny/ręczny import badań poprzednich z archiwum PACS na potrzeby porównania z badaniem bieżącym</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TAK, podać</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Automatyczny = 3 pkt</w:t>
            </w:r>
            <w:r>
              <w:rPr>
                <w:color w:val="000000"/>
              </w:rPr>
              <w:br/>
              <w:t>Ręczny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204</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 xml:space="preserve">Automatyczne numerowanie kręgów kręgosłupa w badaniach MR, odcinkowych jak i całego kręgosłupa, </w:t>
            </w:r>
            <w:r>
              <w:rPr>
                <w:color w:val="000000"/>
              </w:rPr>
              <w:lastRenderedPageBreak/>
              <w:t>analizujące znaczniki anatomiczne z wykorzystaniem mechanizmów sztucznej inteligencji</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lastRenderedPageBreak/>
              <w:t>TAK/NIE</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Bez oceny</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211</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Generowanie map ADC o wysokim współczynniku b w oparciu o mapy ADC o niskich współczynnikach b, pozwalające na skrócenie czasu wykonania badania, w szczególności generowanie map o współczynniku b=2000 w oparciu o mapy b50, b400, b1000.</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TAK/NIE</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TAK = 3 pkt</w:t>
            </w:r>
            <w:r>
              <w:rPr>
                <w:color w:val="000000"/>
              </w:rPr>
              <w:br/>
              <w:t>Nie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218</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Oprogramowanie do analizowania wczesnej odpowiedzi na terapię, umożliwiające obliczanie histogramów, tworzenia trendów śledzonych zmian.</w:t>
            </w:r>
            <w:r>
              <w:rPr>
                <w:color w:val="000000"/>
              </w:rPr>
              <w:br/>
              <w:t xml:space="preserve">Możliwość graficznej prezentacji w postaci histogramu wyniku segmentacji lub obszaru zainteresowania, </w:t>
            </w:r>
            <w:r>
              <w:rPr>
                <w:color w:val="000000"/>
              </w:rPr>
              <w:br/>
              <w:t xml:space="preserve">Wizualizacja zmian ilościowych, np. zmian rozmiaru albo objętości guza między różnymi punktami czasowymi badania MR </w:t>
            </w:r>
            <w:r>
              <w:rPr>
                <w:color w:val="000000"/>
              </w:rPr>
              <w:br/>
              <w:t>- jednoczesny dostęp na jednej konsoli</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TAK/NIE</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TAK = 5 pkt</w:t>
            </w:r>
            <w:r>
              <w:rPr>
                <w:color w:val="000000"/>
              </w:rPr>
              <w:br/>
              <w:t>Nie = 0 pkt</w:t>
            </w:r>
          </w:p>
        </w:tc>
      </w:tr>
      <w:tr w:rsidR="00843755" w:rsidTr="00843755">
        <w:trPr>
          <w:trHeight w:val="510"/>
        </w:trPr>
        <w:tc>
          <w:tcPr>
            <w:tcW w:w="71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color w:val="000000"/>
              </w:rPr>
            </w:pPr>
            <w:r>
              <w:rPr>
                <w:color w:val="000000"/>
              </w:rPr>
              <w:t>222</w:t>
            </w:r>
          </w:p>
        </w:tc>
        <w:tc>
          <w:tcPr>
            <w:tcW w:w="4253" w:type="dxa"/>
            <w:tcBorders>
              <w:top w:val="single" w:sz="4" w:space="0" w:color="auto"/>
              <w:left w:val="nil"/>
              <w:bottom w:val="single" w:sz="4" w:space="0" w:color="auto"/>
              <w:right w:val="single" w:sz="4" w:space="0" w:color="auto"/>
            </w:tcBorders>
            <w:vAlign w:val="center"/>
            <w:hideMark/>
          </w:tcPr>
          <w:p w:rsidR="00843755" w:rsidRDefault="00843755">
            <w:pPr>
              <w:rPr>
                <w:rFonts w:eastAsia="Times"/>
                <w:color w:val="000000"/>
              </w:rPr>
            </w:pPr>
            <w:r>
              <w:rPr>
                <w:color w:val="000000"/>
              </w:rPr>
              <w:t xml:space="preserve">Możliwość eksportu wybranych serii badania wraz z dedykowaną aplikacją na zewnętrzny napęd USB. </w:t>
            </w:r>
            <w:r>
              <w:rPr>
                <w:color w:val="000000"/>
              </w:rPr>
              <w:br/>
              <w:t xml:space="preserve">Aplikacja umożliwiająca przeglądanie badania na dowolnym komputerze nie mającym połączenia z serwerem aplikacyjnym, do zastosowania na potrzeby </w:t>
            </w:r>
            <w:proofErr w:type="spellStart"/>
            <w:r>
              <w:rPr>
                <w:color w:val="000000"/>
              </w:rPr>
              <w:t>OncoBoard</w:t>
            </w:r>
            <w:proofErr w:type="spellEnd"/>
            <w:r>
              <w:rPr>
                <w:color w:val="000000"/>
              </w:rPr>
              <w:t>.</w:t>
            </w:r>
            <w:r>
              <w:rPr>
                <w:color w:val="000000"/>
              </w:rPr>
              <w:br/>
              <w:t>Aplikacja tego samego producenta, co zaoferowany system aplikacji</w:t>
            </w:r>
            <w:r>
              <w:rPr>
                <w:color w:val="000000"/>
              </w:rPr>
              <w:br/>
              <w:t>- jednoczesny dostęp na jednej konsoli</w:t>
            </w:r>
          </w:p>
        </w:tc>
        <w:tc>
          <w:tcPr>
            <w:tcW w:w="1783"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lang w:val="en-US"/>
              </w:rPr>
            </w:pPr>
            <w:r>
              <w:rPr>
                <w:color w:val="000000"/>
              </w:rPr>
              <w:t>TAK/NIE</w:t>
            </w:r>
          </w:p>
        </w:tc>
        <w:tc>
          <w:tcPr>
            <w:tcW w:w="1461"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 </w:t>
            </w:r>
          </w:p>
        </w:tc>
        <w:tc>
          <w:tcPr>
            <w:tcW w:w="1796" w:type="dxa"/>
            <w:tcBorders>
              <w:top w:val="single" w:sz="4" w:space="0" w:color="auto"/>
              <w:left w:val="nil"/>
              <w:bottom w:val="single" w:sz="4" w:space="0" w:color="auto"/>
              <w:right w:val="single" w:sz="4" w:space="0" w:color="auto"/>
            </w:tcBorders>
            <w:vAlign w:val="center"/>
            <w:hideMark/>
          </w:tcPr>
          <w:p w:rsidR="00843755" w:rsidRDefault="00843755">
            <w:pPr>
              <w:jc w:val="center"/>
              <w:rPr>
                <w:color w:val="000000"/>
              </w:rPr>
            </w:pPr>
            <w:r>
              <w:rPr>
                <w:color w:val="000000"/>
              </w:rPr>
              <w:t>TAK = 1 pkt</w:t>
            </w:r>
            <w:r>
              <w:rPr>
                <w:color w:val="000000"/>
              </w:rPr>
              <w:br/>
              <w:t>Nie = 0 pkt</w:t>
            </w:r>
          </w:p>
        </w:tc>
      </w:tr>
    </w:tbl>
    <w:p w:rsidR="00843755" w:rsidRDefault="00843755" w:rsidP="00843755">
      <w:pPr>
        <w:numPr>
          <w:ilvl w:val="0"/>
          <w:numId w:val="12"/>
        </w:numPr>
        <w:suppressAutoHyphens w:val="0"/>
      </w:pPr>
      <w:r>
        <w:rPr>
          <w:b/>
        </w:rPr>
        <w:t>Dotyczy załącznika nr 1 do SIWZ, w części PET/CT, pkt 5 tabeli opisu skanera PET/CT</w:t>
      </w:r>
    </w:p>
    <w:p w:rsidR="00843755" w:rsidRDefault="00843755" w:rsidP="00843755">
      <w:pPr>
        <w:jc w:val="both"/>
      </w:pPr>
      <w:r>
        <w:t xml:space="preserve">Czy </w:t>
      </w:r>
      <w:proofErr w:type="spellStart"/>
      <w:r>
        <w:t>Zamawijący</w:t>
      </w:r>
      <w:proofErr w:type="spellEnd"/>
      <w:r>
        <w:t xml:space="preserve"> uzna za spełnienie tego warunku rozwiązanie, w którym dla pacjenta o masie do 204 kg  zakres badania wynosi 200 cm, natomiast dla pacjenta do 227 kg wynosi 170 cm. Wnosimy o zmianę zapisu </w:t>
      </w:r>
      <w:proofErr w:type="spellStart"/>
      <w:r>
        <w:t>zapisu</w:t>
      </w:r>
      <w:proofErr w:type="spellEnd"/>
      <w:r>
        <w:t xml:space="preserve"> pkt 5 na poniższy, co pozwoli nam na złożenie ważnej oferty.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3318"/>
        <w:gridCol w:w="1560"/>
        <w:gridCol w:w="1115"/>
        <w:gridCol w:w="2423"/>
      </w:tblGrid>
      <w:tr w:rsidR="00843755" w:rsidTr="00843755">
        <w:trPr>
          <w:trHeight w:val="510"/>
        </w:trPr>
        <w:tc>
          <w:tcPr>
            <w:tcW w:w="646"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lang w:val="en-US"/>
              </w:rPr>
            </w:pPr>
            <w:r>
              <w:rPr>
                <w:rFonts w:eastAsia="Calibri" w:cs="Arial"/>
              </w:rPr>
              <w:t>5.</w:t>
            </w:r>
          </w:p>
        </w:tc>
        <w:tc>
          <w:tcPr>
            <w:tcW w:w="3318"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 xml:space="preserve">Maksymalny wymiar </w:t>
            </w:r>
            <w:r>
              <w:rPr>
                <w:rFonts w:eastAsia="Calibri" w:cs="Arial"/>
                <w:u w:val="single"/>
              </w:rPr>
              <w:t>podłużny</w:t>
            </w:r>
            <w:r>
              <w:rPr>
                <w:rFonts w:eastAsia="Calibri" w:cs="Arial"/>
              </w:rPr>
              <w:t xml:space="preserve"> obszaru skanowanego PET/CT</w:t>
            </w:r>
          </w:p>
        </w:tc>
        <w:tc>
          <w:tcPr>
            <w:tcW w:w="156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lang w:val="en-US"/>
              </w:rPr>
            </w:pPr>
            <w:r>
              <w:rPr>
                <w:rFonts w:eastAsia="Calibri" w:cs="Arial"/>
              </w:rPr>
              <w:t xml:space="preserve"> ≥ 170 cm    </w:t>
            </w:r>
          </w:p>
          <w:p w:rsidR="00843755" w:rsidRDefault="00843755">
            <w:pPr>
              <w:rPr>
                <w:rFonts w:eastAsia="Calibri" w:cs="Arial"/>
              </w:rPr>
            </w:pPr>
            <w:r>
              <w:rPr>
                <w:rFonts w:eastAsia="Calibri" w:cs="Arial"/>
              </w:rPr>
              <w:t xml:space="preserve">Podać, opisać        </w:t>
            </w:r>
          </w:p>
        </w:tc>
        <w:tc>
          <w:tcPr>
            <w:tcW w:w="1115"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 </w:t>
            </w:r>
          </w:p>
        </w:tc>
        <w:tc>
          <w:tcPr>
            <w:tcW w:w="2423"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bez punktacji</w:t>
            </w:r>
          </w:p>
        </w:tc>
      </w:tr>
    </w:tbl>
    <w:p w:rsidR="00843755" w:rsidRDefault="00843755" w:rsidP="00843755">
      <w:pPr>
        <w:rPr>
          <w:rFonts w:ascii="GE Inspira" w:eastAsia="Times" w:hAnsi="GE Inspira"/>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16 tabeli opisu skanera PET/CT</w:t>
      </w:r>
    </w:p>
    <w:p w:rsidR="00843755" w:rsidRDefault="00843755" w:rsidP="00843755">
      <w:pPr>
        <w:jc w:val="both"/>
      </w:pPr>
      <w:r>
        <w:t xml:space="preserve">Czy </w:t>
      </w:r>
      <w:proofErr w:type="spellStart"/>
      <w:r>
        <w:t>Zamawijący</w:t>
      </w:r>
      <w:proofErr w:type="spellEnd"/>
      <w:r>
        <w:t xml:space="preserve"> uzna za spełnienie tego warunku rozwiązanie, w którym </w:t>
      </w:r>
      <w:proofErr w:type="spellStart"/>
      <w:r>
        <w:t>przesów</w:t>
      </w:r>
      <w:proofErr w:type="spellEnd"/>
      <w:r>
        <w:t xml:space="preserve"> wzdłużny stołu pozwala na podłużny obszar badania PET/CT taki jak w pytaniu nr 1 do punktu 5. Wnosimy o zmianę zapisu </w:t>
      </w:r>
      <w:proofErr w:type="spellStart"/>
      <w:r>
        <w:t>zapisu</w:t>
      </w:r>
      <w:proofErr w:type="spellEnd"/>
      <w:r>
        <w:t xml:space="preserve"> pkt 16 na poniższy, co pozwoli nam na złożenie ważnej oferty.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3317"/>
        <w:gridCol w:w="1714"/>
        <w:gridCol w:w="1135"/>
        <w:gridCol w:w="2249"/>
      </w:tblGrid>
      <w:tr w:rsidR="00843755" w:rsidTr="00843755">
        <w:trPr>
          <w:trHeight w:val="300"/>
        </w:trPr>
        <w:tc>
          <w:tcPr>
            <w:tcW w:w="647"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lang w:val="en-US"/>
              </w:rPr>
            </w:pPr>
            <w:r>
              <w:rPr>
                <w:rFonts w:eastAsia="Calibri" w:cs="Arial"/>
              </w:rPr>
              <w:t>16</w:t>
            </w:r>
          </w:p>
        </w:tc>
        <w:tc>
          <w:tcPr>
            <w:tcW w:w="3317"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i/>
                <w:iCs/>
              </w:rPr>
            </w:pPr>
            <w:r>
              <w:rPr>
                <w:rFonts w:eastAsia="Calibri" w:cs="Arial"/>
              </w:rPr>
              <w:t xml:space="preserve">Zakres przesuwu wzdłużnego stołu </w:t>
            </w:r>
            <w:r>
              <w:rPr>
                <w:rFonts w:eastAsia="Calibri" w:cs="Arial"/>
                <w:i/>
                <w:iCs/>
              </w:rPr>
              <w:t>(</w:t>
            </w:r>
            <w:proofErr w:type="spellStart"/>
            <w:r>
              <w:rPr>
                <w:rFonts w:eastAsia="Calibri" w:cs="Arial"/>
                <w:i/>
                <w:iCs/>
              </w:rPr>
              <w:t>horizontalmovementrange</w:t>
            </w:r>
            <w:proofErr w:type="spellEnd"/>
            <w:r>
              <w:rPr>
                <w:rFonts w:eastAsia="Calibri" w:cs="Arial"/>
                <w:i/>
                <w:iCs/>
              </w:rPr>
              <w:t>)</w:t>
            </w:r>
          </w:p>
        </w:tc>
        <w:tc>
          <w:tcPr>
            <w:tcW w:w="1714"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lang w:val="en-US"/>
              </w:rPr>
            </w:pPr>
            <w:r>
              <w:rPr>
                <w:rFonts w:eastAsia="Calibri" w:cs="Arial"/>
              </w:rPr>
              <w:t>≥ 170 cm</w:t>
            </w:r>
          </w:p>
        </w:tc>
        <w:tc>
          <w:tcPr>
            <w:tcW w:w="1135"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 </w:t>
            </w:r>
          </w:p>
        </w:tc>
        <w:tc>
          <w:tcPr>
            <w:tcW w:w="2249"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bez punktacji</w:t>
            </w:r>
          </w:p>
        </w:tc>
      </w:tr>
    </w:tbl>
    <w:p w:rsidR="00843755" w:rsidRDefault="00843755" w:rsidP="00843755">
      <w:pPr>
        <w:jc w:val="both"/>
        <w:rPr>
          <w:rFonts w:ascii="GE Inspira" w:eastAsia="Times" w:hAnsi="GE Inspira"/>
          <w:b/>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20 tabeli opisu skanera PET/CT</w:t>
      </w:r>
    </w:p>
    <w:p w:rsidR="00843755" w:rsidRDefault="00843755" w:rsidP="00843755">
      <w:pPr>
        <w:jc w:val="both"/>
      </w:pPr>
      <w:r>
        <w:lastRenderedPageBreak/>
        <w:t xml:space="preserve">Wnosimy o dopuszczenie płaskich blatów do radioterapii w formie specjalizowanej nakładki z możliwością szybkiego jej zdejmowania. Tego typu nakładki są powszechnie stosowane i dedykowane przez producentów akceleratorów.  Wnosimy o </w:t>
      </w:r>
      <w:proofErr w:type="spellStart"/>
      <w:r>
        <w:t>zmiane</w:t>
      </w:r>
      <w:proofErr w:type="spellEnd"/>
      <w:r>
        <w:t xml:space="preserve"> zapisu pkt 20 na poniższy co pozwoli nam na złożenie ważnej oferty.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4008"/>
        <w:gridCol w:w="1254"/>
        <w:gridCol w:w="1465"/>
        <w:gridCol w:w="2742"/>
      </w:tblGrid>
      <w:tr w:rsidR="00843755" w:rsidTr="00843755">
        <w:trPr>
          <w:trHeight w:val="510"/>
        </w:trPr>
        <w:tc>
          <w:tcPr>
            <w:tcW w:w="96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lang w:val="en-US"/>
              </w:rPr>
            </w:pPr>
            <w:r>
              <w:rPr>
                <w:rFonts w:eastAsia="Calibri" w:cs="Arial"/>
              </w:rPr>
              <w:t>20</w:t>
            </w:r>
          </w:p>
        </w:tc>
        <w:tc>
          <w:tcPr>
            <w:tcW w:w="598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1 blat diagnostyczny  i 1 blat płaski do radioterapii, z możliwością ich szybkiej wymiany lub płaska nakładka do planowania radioterapii</w:t>
            </w:r>
          </w:p>
        </w:tc>
        <w:tc>
          <w:tcPr>
            <w:tcW w:w="170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lang w:val="en-US"/>
              </w:rPr>
            </w:pPr>
            <w:r>
              <w:rPr>
                <w:rFonts w:eastAsia="Calibri" w:cs="Arial"/>
              </w:rPr>
              <w:t>TAK</w:t>
            </w:r>
          </w:p>
        </w:tc>
        <w:tc>
          <w:tcPr>
            <w:tcW w:w="244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 </w:t>
            </w:r>
          </w:p>
        </w:tc>
        <w:tc>
          <w:tcPr>
            <w:tcW w:w="408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bez punktacji</w:t>
            </w:r>
          </w:p>
        </w:tc>
      </w:tr>
    </w:tbl>
    <w:p w:rsidR="00843755" w:rsidRDefault="00843755" w:rsidP="00843755">
      <w:pPr>
        <w:jc w:val="both"/>
        <w:rPr>
          <w:rFonts w:ascii="GE Inspira" w:eastAsia="Times" w:hAnsi="GE Inspira"/>
          <w:b/>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25 tabeli opisu skanera PET/CT</w:t>
      </w:r>
    </w:p>
    <w:p w:rsidR="00843755" w:rsidRDefault="00843755" w:rsidP="00843755">
      <w:pPr>
        <w:jc w:val="both"/>
      </w:pPr>
      <w:r>
        <w:t xml:space="preserve">Ponieważ wymiary przekroju poprzecznego kryształu scyntylacyjnego są rozwiązaniem technicznym mogącym mieć wpływ na rozdzielczość przestrzenną, którą to rozdzielczość Zamawiający specyfikuje w pkt 36 wnosimy o całkowite </w:t>
      </w:r>
      <w:proofErr w:type="spellStart"/>
      <w:r>
        <w:t>wykreslenie</w:t>
      </w:r>
      <w:proofErr w:type="spellEnd"/>
      <w:r>
        <w:t xml:space="preserve"> pkt 25 jak poniżej co pozwoli nam na złożenie ważnej oferty. Znamienny jest fakt, że w pkt 25 </w:t>
      </w:r>
      <w:proofErr w:type="spellStart"/>
      <w:r>
        <w:t>Zamawijący</w:t>
      </w:r>
      <w:proofErr w:type="spellEnd"/>
      <w:r>
        <w:t xml:space="preserve"> nie specyfikuje wymogu co do długości </w:t>
      </w:r>
      <w:proofErr w:type="spellStart"/>
      <w:r>
        <w:t>kryszrtału</w:t>
      </w:r>
      <w:proofErr w:type="spellEnd"/>
      <w:r>
        <w:t xml:space="preserve">, wymiaru który ma wpływ na czułość detektora, która to </w:t>
      </w:r>
      <w:proofErr w:type="spellStart"/>
      <w:r>
        <w:t>czułośc</w:t>
      </w:r>
      <w:proofErr w:type="spellEnd"/>
      <w:r>
        <w:t xml:space="preserve"> jest specyfikowana w pkt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113"/>
        <w:gridCol w:w="1238"/>
        <w:gridCol w:w="1431"/>
        <w:gridCol w:w="2695"/>
      </w:tblGrid>
      <w:tr w:rsidR="00843755" w:rsidTr="00843755">
        <w:trPr>
          <w:trHeight w:val="510"/>
        </w:trPr>
        <w:tc>
          <w:tcPr>
            <w:tcW w:w="96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lang w:val="en-US"/>
              </w:rPr>
            </w:pPr>
            <w:r>
              <w:rPr>
                <w:rFonts w:eastAsia="Calibri" w:cs="Arial"/>
              </w:rPr>
              <w:t>25</w:t>
            </w:r>
          </w:p>
        </w:tc>
        <w:tc>
          <w:tcPr>
            <w:tcW w:w="598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strike/>
              </w:rPr>
            </w:pPr>
            <w:proofErr w:type="spellStart"/>
            <w:r>
              <w:rPr>
                <w:rFonts w:eastAsia="Calibri" w:cs="Arial"/>
                <w:strike/>
              </w:rPr>
              <w:t>Krysztaly</w:t>
            </w:r>
            <w:proofErr w:type="spellEnd"/>
            <w:r>
              <w:rPr>
                <w:rFonts w:eastAsia="Calibri" w:cs="Arial"/>
                <w:strike/>
              </w:rPr>
              <w:t xml:space="preserve"> scyntylatora oparte na lutecie,  z wymiarami podstawy nie przekraczającymi:  4,2x6,3 mm</w:t>
            </w:r>
          </w:p>
          <w:p w:rsidR="00843755" w:rsidRDefault="00843755">
            <w:pPr>
              <w:rPr>
                <w:rFonts w:eastAsia="Calibri" w:cs="Arial"/>
                <w:iCs/>
                <w:u w:val="single"/>
              </w:rPr>
            </w:pPr>
            <w:r>
              <w:rPr>
                <w:rFonts w:eastAsia="Calibri" w:cs="Arial"/>
                <w:iCs/>
                <w:u w:val="single"/>
              </w:rPr>
              <w:t>Wiersz wykreślony</w:t>
            </w:r>
          </w:p>
        </w:tc>
        <w:tc>
          <w:tcPr>
            <w:tcW w:w="170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strike/>
                <w:lang w:val="en-US"/>
              </w:rPr>
            </w:pPr>
            <w:r>
              <w:rPr>
                <w:rFonts w:eastAsia="Calibri" w:cs="Arial"/>
                <w:strike/>
              </w:rPr>
              <w:t>TAK</w:t>
            </w:r>
          </w:p>
        </w:tc>
        <w:tc>
          <w:tcPr>
            <w:tcW w:w="244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strike/>
              </w:rPr>
            </w:pPr>
            <w:r>
              <w:rPr>
                <w:rFonts w:eastAsia="Calibri" w:cs="Arial"/>
                <w:strike/>
              </w:rPr>
              <w:t> </w:t>
            </w:r>
          </w:p>
        </w:tc>
        <w:tc>
          <w:tcPr>
            <w:tcW w:w="408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strike/>
              </w:rPr>
            </w:pPr>
            <w:r>
              <w:rPr>
                <w:rFonts w:eastAsia="Calibri" w:cs="Arial"/>
                <w:strike/>
              </w:rPr>
              <w:t>bez punktacji</w:t>
            </w:r>
          </w:p>
        </w:tc>
      </w:tr>
    </w:tbl>
    <w:p w:rsidR="00843755" w:rsidRDefault="00843755" w:rsidP="00843755">
      <w:pPr>
        <w:rPr>
          <w:rFonts w:ascii="GE Inspira" w:eastAsia="Times" w:hAnsi="GE Inspira"/>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27 tabeli opisu skanera PET/CT</w:t>
      </w:r>
    </w:p>
    <w:p w:rsidR="00843755" w:rsidRDefault="00843755" w:rsidP="00843755">
      <w:pPr>
        <w:jc w:val="both"/>
      </w:pPr>
      <w:r>
        <w:t>Metoda TOF (</w:t>
      </w:r>
      <w:proofErr w:type="spellStart"/>
      <w:r>
        <w:t>time</w:t>
      </w:r>
      <w:proofErr w:type="spellEnd"/>
      <w:r>
        <w:t>-of-</w:t>
      </w:r>
      <w:proofErr w:type="spellStart"/>
      <w:r>
        <w:t>flight</w:t>
      </w:r>
      <w:proofErr w:type="spellEnd"/>
      <w:r>
        <w:t xml:space="preserve">), która nie jest wymagana przez Zamawiającego, jest jedną z metod poprawienia stosunku sygnału do szumu. Ten sam efekt można uzyskać przez zwiększenie wydajności procesu scyntylacji i/lub przez zastosowanie nowych technik rekonstrukcji. Metoda TOF jest oceniana przez </w:t>
      </w:r>
      <w:proofErr w:type="spellStart"/>
      <w:r>
        <w:t>Zamawijącego</w:t>
      </w:r>
      <w:proofErr w:type="spellEnd"/>
      <w:r>
        <w:t xml:space="preserve"> w pkt 210 jako metoda zwiększająca rozdzielczość skanera.  Obiektywną metodą porównania czułości detektora, jednego z krytycznych parametrów detektora, jest zastosowanie standardu NEMA bez żadnych modyfikacji. Standard NEMA jest zaakceptowany i stosowany przez wszystkich producentów </w:t>
      </w:r>
      <w:proofErr w:type="spellStart"/>
      <w:r>
        <w:t>sprzetu</w:t>
      </w:r>
      <w:proofErr w:type="spellEnd"/>
      <w:r>
        <w:t xml:space="preserve"> medycznego na świecie, i pomiary według norm NEMA są podstawą specjalistycznych testów akceptacyjnych w miejscu instalacji </w:t>
      </w:r>
      <w:proofErr w:type="spellStart"/>
      <w:r>
        <w:t>potwierdzającyh</w:t>
      </w:r>
      <w:proofErr w:type="spellEnd"/>
      <w:r>
        <w:t xml:space="preserve"> spełnienie wymaganych parametrów. Producenci skanerów PET/CT zawsze specyfikują w danych produktowych parametry według standardu NEMA. Jako przykład załączamy fragment danych technicznych aparatu </w:t>
      </w:r>
      <w:proofErr w:type="spellStart"/>
      <w:r>
        <w:t>Bioghraph</w:t>
      </w:r>
      <w:proofErr w:type="spellEnd"/>
      <w:r>
        <w:t xml:space="preserve"> </w:t>
      </w:r>
      <w:proofErr w:type="spellStart"/>
      <w:r>
        <w:t>mCT</w:t>
      </w:r>
      <w:proofErr w:type="spellEnd"/>
      <w:r>
        <w:t xml:space="preserve"> firmy Siemens (czułość 10,2 </w:t>
      </w:r>
      <w:proofErr w:type="spellStart"/>
      <w:r>
        <w:t>cps</w:t>
      </w:r>
      <w:proofErr w:type="spellEnd"/>
      <w:r>
        <w:t>/</w:t>
      </w:r>
      <w:proofErr w:type="spellStart"/>
      <w:r>
        <w:t>kGq</w:t>
      </w:r>
      <w:proofErr w:type="spellEnd"/>
      <w:r>
        <w:t>):</w:t>
      </w:r>
    </w:p>
    <w:p w:rsidR="00843755" w:rsidRDefault="00843755" w:rsidP="00843755">
      <w:pPr>
        <w:jc w:val="both"/>
      </w:pPr>
      <w:r>
        <w:rPr>
          <w:noProof/>
          <w:lang w:val="en-US"/>
        </w:rPr>
        <w:drawing>
          <wp:anchor distT="0" distB="0" distL="114300" distR="114300" simplePos="0" relativeHeight="251656704" behindDoc="0" locked="0" layoutInCell="1" allowOverlap="1">
            <wp:simplePos x="0" y="0"/>
            <wp:positionH relativeFrom="column">
              <wp:posOffset>39370</wp:posOffset>
            </wp:positionH>
            <wp:positionV relativeFrom="paragraph">
              <wp:posOffset>113030</wp:posOffset>
            </wp:positionV>
            <wp:extent cx="5772150" cy="800100"/>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50" cy="800100"/>
                    </a:xfrm>
                    <a:prstGeom prst="rect">
                      <a:avLst/>
                    </a:prstGeom>
                    <a:noFill/>
                  </pic:spPr>
                </pic:pic>
              </a:graphicData>
            </a:graphic>
            <wp14:sizeRelH relativeFrom="page">
              <wp14:pctWidth>0</wp14:pctWidth>
            </wp14:sizeRelH>
            <wp14:sizeRelV relativeFrom="page">
              <wp14:pctHeight>0</wp14:pctHeight>
            </wp14:sizeRelV>
          </wp:anchor>
        </w:drawing>
      </w:r>
    </w:p>
    <w:p w:rsidR="00843755" w:rsidRDefault="00843755" w:rsidP="00843755">
      <w:pPr>
        <w:jc w:val="both"/>
      </w:pPr>
      <w:r>
        <w:t>Dlatego zasadnym jest specyfikowanie wymagań według standardu NEMA. Dlatego wnosimy o poniższy zapis, który pozwoli nam na złożenie ważnej oferty.</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756"/>
        <w:gridCol w:w="1003"/>
        <w:gridCol w:w="2211"/>
        <w:gridCol w:w="1822"/>
      </w:tblGrid>
      <w:tr w:rsidR="00843755" w:rsidTr="00843755">
        <w:trPr>
          <w:trHeight w:val="855"/>
        </w:trPr>
        <w:tc>
          <w:tcPr>
            <w:tcW w:w="56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27</w:t>
            </w:r>
          </w:p>
        </w:tc>
        <w:tc>
          <w:tcPr>
            <w:tcW w:w="3828"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t xml:space="preserve">Czułość w trybie akwizycji 3D wg NEMA </w:t>
            </w:r>
            <w:proofErr w:type="spellStart"/>
            <w:r>
              <w:t>Standards</w:t>
            </w:r>
            <w:proofErr w:type="spellEnd"/>
            <w:r>
              <w:t xml:space="preserve"> </w:t>
            </w:r>
            <w:proofErr w:type="spellStart"/>
            <w:r>
              <w:t>Publication</w:t>
            </w:r>
            <w:proofErr w:type="spellEnd"/>
            <w:r>
              <w:t xml:space="preserve"> NU2-2012</w:t>
            </w:r>
          </w:p>
        </w:tc>
        <w:tc>
          <w:tcPr>
            <w:tcW w:w="85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cs="Arial"/>
                <w:color w:val="000000"/>
              </w:rPr>
            </w:pPr>
            <w:r>
              <w:rPr>
                <w:rFonts w:cs="Arial"/>
                <w:color w:val="000000"/>
              </w:rPr>
              <w:t xml:space="preserve">&gt; 10 </w:t>
            </w:r>
            <w:proofErr w:type="spellStart"/>
            <w:r>
              <w:rPr>
                <w:rFonts w:cs="Arial"/>
                <w:color w:val="000000"/>
              </w:rPr>
              <w:t>cps</w:t>
            </w:r>
            <w:proofErr w:type="spellEnd"/>
            <w:r>
              <w:rPr>
                <w:rFonts w:cs="Arial"/>
                <w:color w:val="000000"/>
              </w:rPr>
              <w:t>/</w:t>
            </w:r>
            <w:proofErr w:type="spellStart"/>
            <w:r>
              <w:rPr>
                <w:rFonts w:cs="Arial"/>
                <w:color w:val="000000"/>
              </w:rPr>
              <w:t>kBq</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i/>
                <w:iCs/>
                <w:color w:val="C0504D"/>
              </w:rPr>
            </w:pPr>
            <w:r>
              <w:rPr>
                <w:rFonts w:cs="Arial"/>
                <w:i/>
                <w:iCs/>
                <w:color w:val="C0504D"/>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rPr>
            </w:pPr>
            <w:r>
              <w:rPr>
                <w:rFonts w:cs="Arial"/>
                <w:color w:val="000000"/>
              </w:rPr>
              <w:t>Bez punktacji</w:t>
            </w:r>
          </w:p>
        </w:tc>
      </w:tr>
    </w:tbl>
    <w:p w:rsidR="00843755" w:rsidRDefault="00843755" w:rsidP="00843755">
      <w:pPr>
        <w:jc w:val="both"/>
        <w:rPr>
          <w:rFonts w:ascii="GE Inspira" w:hAnsi="GE Inspira"/>
          <w:b/>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29 tabeli opisu skanera PET/CT</w:t>
      </w:r>
    </w:p>
    <w:p w:rsidR="00843755" w:rsidRDefault="00843755" w:rsidP="00843755">
      <w:r>
        <w:t>Ponieważ każdy algorytm rekonstrukcyjny oparty jest na LOR (</w:t>
      </w:r>
      <w:r>
        <w:rPr>
          <w:i/>
        </w:rPr>
        <w:t xml:space="preserve">Line of </w:t>
      </w:r>
      <w:proofErr w:type="spellStart"/>
      <w:r>
        <w:rPr>
          <w:i/>
        </w:rPr>
        <w:t>Response</w:t>
      </w:r>
      <w:proofErr w:type="spellEnd"/>
      <w:r>
        <w:t>) i w tym kontekście zapis pkt 29 jest niejednoznaczny, dlatego wnosimy o całkowite wykreślenie tego parametru jak poniżej co pozwoli nam na złożenie ważnej oferty.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910"/>
        <w:gridCol w:w="1034"/>
        <w:gridCol w:w="1167"/>
        <w:gridCol w:w="2295"/>
      </w:tblGrid>
      <w:tr w:rsidR="00843755" w:rsidTr="00843755">
        <w:trPr>
          <w:trHeight w:val="300"/>
        </w:trPr>
        <w:tc>
          <w:tcPr>
            <w:tcW w:w="656"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lang w:val="en-US"/>
              </w:rPr>
            </w:pPr>
            <w:r>
              <w:rPr>
                <w:rFonts w:eastAsia="Calibri" w:cs="Arial"/>
              </w:rPr>
              <w:t>29</w:t>
            </w:r>
          </w:p>
        </w:tc>
        <w:tc>
          <w:tcPr>
            <w:tcW w:w="391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i/>
                <w:iCs/>
                <w:strike/>
              </w:rPr>
            </w:pPr>
            <w:r>
              <w:rPr>
                <w:rFonts w:eastAsia="Calibri" w:cs="Arial"/>
                <w:strike/>
              </w:rPr>
              <w:t xml:space="preserve">Algorytmrekonstrukcji3D LOR </w:t>
            </w:r>
            <w:r>
              <w:rPr>
                <w:rFonts w:eastAsia="Calibri" w:cs="Arial"/>
                <w:i/>
                <w:iCs/>
                <w:strike/>
              </w:rPr>
              <w:t xml:space="preserve">(Line of </w:t>
            </w:r>
            <w:proofErr w:type="spellStart"/>
            <w:r>
              <w:rPr>
                <w:rFonts w:eastAsia="Calibri" w:cs="Arial"/>
                <w:i/>
                <w:iCs/>
                <w:strike/>
              </w:rPr>
              <w:t>Response</w:t>
            </w:r>
            <w:proofErr w:type="spellEnd"/>
            <w:r>
              <w:rPr>
                <w:rFonts w:eastAsia="Calibri" w:cs="Arial"/>
                <w:i/>
                <w:iCs/>
                <w:strike/>
              </w:rPr>
              <w:t>)</w:t>
            </w:r>
          </w:p>
          <w:p w:rsidR="00843755" w:rsidRDefault="00843755">
            <w:pPr>
              <w:rPr>
                <w:rFonts w:eastAsia="Calibri" w:cs="Arial"/>
                <w:iCs/>
                <w:u w:val="single"/>
              </w:rPr>
            </w:pPr>
            <w:r>
              <w:rPr>
                <w:rFonts w:eastAsia="Calibri" w:cs="Arial"/>
                <w:iCs/>
                <w:u w:val="single"/>
              </w:rPr>
              <w:t>Wiersz wykreślony</w:t>
            </w:r>
          </w:p>
        </w:tc>
        <w:tc>
          <w:tcPr>
            <w:tcW w:w="1034"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strike/>
                <w:lang w:val="en-US"/>
              </w:rPr>
            </w:pPr>
            <w:r>
              <w:rPr>
                <w:rFonts w:eastAsia="Calibri" w:cs="Arial"/>
                <w:strike/>
              </w:rPr>
              <w:t>TAK</w:t>
            </w:r>
          </w:p>
        </w:tc>
        <w:tc>
          <w:tcPr>
            <w:tcW w:w="1167"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strike/>
              </w:rPr>
            </w:pPr>
            <w:r>
              <w:rPr>
                <w:rFonts w:eastAsia="Calibri" w:cs="Arial"/>
                <w:strike/>
              </w:rPr>
              <w:t> </w:t>
            </w:r>
          </w:p>
        </w:tc>
        <w:tc>
          <w:tcPr>
            <w:tcW w:w="2295"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strike/>
              </w:rPr>
            </w:pPr>
            <w:r>
              <w:rPr>
                <w:rFonts w:eastAsia="Calibri" w:cs="Arial"/>
                <w:strike/>
              </w:rPr>
              <w:t>bez punktacji</w:t>
            </w:r>
          </w:p>
        </w:tc>
      </w:tr>
    </w:tbl>
    <w:p w:rsidR="00843755" w:rsidRDefault="00843755" w:rsidP="00843755">
      <w:pPr>
        <w:rPr>
          <w:rFonts w:ascii="GE Inspira" w:eastAsia="Times" w:hAnsi="GE Inspira"/>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32 tabeli opisu skanera PET/CT</w:t>
      </w:r>
    </w:p>
    <w:p w:rsidR="00843755" w:rsidRDefault="00843755" w:rsidP="00843755">
      <w:r>
        <w:t xml:space="preserve">Ponieważ w oficjalnym dokumencie technicznym udział promieniowania rozproszonego podany jest jako 38% bez użycia znaku „&lt;” wnosimy o zmianę zapisu </w:t>
      </w:r>
      <w:proofErr w:type="spellStart"/>
      <w:r>
        <w:t>zapisu</w:t>
      </w:r>
      <w:proofErr w:type="spellEnd"/>
      <w:r>
        <w:t xml:space="preserve"> pkt 32 na poniższy, co pozwoli nam na złożenie ważnej oferty.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4120"/>
        <w:gridCol w:w="1148"/>
        <w:gridCol w:w="1479"/>
        <w:gridCol w:w="2720"/>
      </w:tblGrid>
      <w:tr w:rsidR="00843755" w:rsidTr="00843755">
        <w:trPr>
          <w:trHeight w:val="300"/>
        </w:trPr>
        <w:tc>
          <w:tcPr>
            <w:tcW w:w="96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lang w:val="en-US"/>
              </w:rPr>
            </w:pPr>
            <w:r>
              <w:rPr>
                <w:rFonts w:eastAsia="Calibri" w:cs="Arial"/>
              </w:rPr>
              <w:t>32</w:t>
            </w:r>
          </w:p>
        </w:tc>
        <w:tc>
          <w:tcPr>
            <w:tcW w:w="598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Rozproszenie (</w:t>
            </w:r>
            <w:proofErr w:type="spellStart"/>
            <w:r>
              <w:rPr>
                <w:rFonts w:eastAsia="Calibri" w:cs="Arial"/>
                <w:i/>
                <w:iCs/>
              </w:rPr>
              <w:t>scatterfraction</w:t>
            </w:r>
            <w:proofErr w:type="spellEnd"/>
            <w:r>
              <w:rPr>
                <w:rFonts w:eastAsia="Calibri" w:cs="Arial"/>
              </w:rPr>
              <w:t>) w trybie akwizycji 3D</w:t>
            </w:r>
          </w:p>
        </w:tc>
        <w:tc>
          <w:tcPr>
            <w:tcW w:w="170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lang w:val="en-US"/>
              </w:rPr>
            </w:pPr>
            <w:r>
              <w:rPr>
                <w:rFonts w:eastAsia="Calibri" w:cs="Arial"/>
              </w:rPr>
              <w:t>≤ 38 %</w:t>
            </w:r>
          </w:p>
        </w:tc>
        <w:tc>
          <w:tcPr>
            <w:tcW w:w="244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 </w:t>
            </w:r>
          </w:p>
        </w:tc>
        <w:tc>
          <w:tcPr>
            <w:tcW w:w="4080"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Wartość poniżej 35 % = 3 pkt</w:t>
            </w:r>
          </w:p>
        </w:tc>
      </w:tr>
    </w:tbl>
    <w:p w:rsidR="00843755" w:rsidRDefault="00843755" w:rsidP="00843755">
      <w:pPr>
        <w:rPr>
          <w:rFonts w:ascii="GE Inspira" w:eastAsia="Times" w:hAnsi="GE Inspira"/>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35 tabeli opisu skanera PET/CT</w:t>
      </w:r>
    </w:p>
    <w:p w:rsidR="00843755" w:rsidRDefault="00843755" w:rsidP="00843755">
      <w:pPr>
        <w:jc w:val="both"/>
      </w:pPr>
      <w:r>
        <w:t xml:space="preserve">Obiektywną metodą porównania prędkości </w:t>
      </w:r>
      <w:proofErr w:type="spellStart"/>
      <w:r>
        <w:t>zliczeń</w:t>
      </w:r>
      <w:proofErr w:type="spellEnd"/>
      <w:r>
        <w:t xml:space="preserve"> NECR, jednego z krytycznych parametrów detektora, jest zastosowanie standardu NEMA bez żadnych modyfikacji takich jak na przykład zastosowanie metody TOF, która nie jest wymagana przez Zamawiającego i jest jedną z metod poprawienia stosunku sygnału do szumu. Ponieważ zgodnie z charakterystykami produktu leczniczego dla znacznika FDG od różnych producentów w Polsce zalecana dawka nie powinna przekraczać 5,7 </w:t>
      </w:r>
      <w:proofErr w:type="spellStart"/>
      <w:r>
        <w:t>MBq</w:t>
      </w:r>
      <w:proofErr w:type="spellEnd"/>
      <w:r>
        <w:t xml:space="preserve">/kg masy ciała dla osób dorosłych (co odpowiada stężeniu 5,7 </w:t>
      </w:r>
      <w:proofErr w:type="spellStart"/>
      <w:r>
        <w:t>kBq</w:t>
      </w:r>
      <w:proofErr w:type="spellEnd"/>
      <w:r>
        <w:t xml:space="preserve">/cc) natomiast dla dzieci w </w:t>
      </w:r>
      <w:proofErr w:type="spellStart"/>
      <w:r>
        <w:t>zalężności</w:t>
      </w:r>
      <w:proofErr w:type="spellEnd"/>
      <w:r>
        <w:t xml:space="preserve"> od masy ciała jest jedynie ułamkiem dawki dla osób dorosłych, wobec czego specyfikowanie prędkości </w:t>
      </w:r>
      <w:proofErr w:type="spellStart"/>
      <w:r>
        <w:t>zliczeń</w:t>
      </w:r>
      <w:proofErr w:type="spellEnd"/>
      <w:r>
        <w:t xml:space="preserve"> dla stężeń w zakresie 30 </w:t>
      </w:r>
      <w:proofErr w:type="spellStart"/>
      <w:r>
        <w:t>kBq</w:t>
      </w:r>
      <w:proofErr w:type="spellEnd"/>
      <w:r>
        <w:t xml:space="preserve">/cc, sześciokrotnie wyższych od </w:t>
      </w:r>
      <w:proofErr w:type="spellStart"/>
      <w:r>
        <w:t>od</w:t>
      </w:r>
      <w:proofErr w:type="spellEnd"/>
      <w:r>
        <w:t xml:space="preserve"> zaleceń </w:t>
      </w:r>
      <w:proofErr w:type="spellStart"/>
      <w:r>
        <w:t>ChPL</w:t>
      </w:r>
      <w:proofErr w:type="spellEnd"/>
      <w:r>
        <w:t xml:space="preserve"> dla FDG, nie ma  </w:t>
      </w:r>
      <w:proofErr w:type="spellStart"/>
      <w:r>
        <w:t>zadnego</w:t>
      </w:r>
      <w:proofErr w:type="spellEnd"/>
      <w:r>
        <w:t xml:space="preserve"> zastosowania klinicznego. Przypominamy, że producenci skanerów PET/CT zawsze specyfikują w danych produktowych parametry według standardu NEMA. Jako przykład załączamy fragment danych technicznych aparatu </w:t>
      </w:r>
      <w:proofErr w:type="spellStart"/>
      <w:r>
        <w:t>Bioghraph</w:t>
      </w:r>
      <w:proofErr w:type="spellEnd"/>
      <w:r>
        <w:t xml:space="preserve"> </w:t>
      </w:r>
      <w:proofErr w:type="spellStart"/>
      <w:r>
        <w:t>mCT</w:t>
      </w:r>
      <w:proofErr w:type="spellEnd"/>
      <w:r>
        <w:t xml:space="preserve"> firmy Siemens (maksymalna prędkość </w:t>
      </w:r>
      <w:proofErr w:type="spellStart"/>
      <w:r>
        <w:t>zliczeń</w:t>
      </w:r>
      <w:proofErr w:type="spellEnd"/>
      <w:r>
        <w:t xml:space="preserve"> NEC 180 </w:t>
      </w:r>
      <w:proofErr w:type="spellStart"/>
      <w:r>
        <w:t>kcps</w:t>
      </w:r>
      <w:proofErr w:type="spellEnd"/>
      <w:r>
        <w:t xml:space="preserve"> dla 28 </w:t>
      </w:r>
      <w:proofErr w:type="spellStart"/>
      <w:r>
        <w:t>kBq</w:t>
      </w:r>
      <w:proofErr w:type="spellEnd"/>
      <w:r>
        <w:t>/cc):</w:t>
      </w:r>
    </w:p>
    <w:p w:rsidR="00843755" w:rsidRDefault="00843755" w:rsidP="00843755">
      <w:pPr>
        <w:jc w:val="both"/>
      </w:pPr>
      <w:r>
        <w:rPr>
          <w:noProof/>
          <w:lang w:val="en-US"/>
        </w:rPr>
        <w:drawing>
          <wp:anchor distT="0" distB="0" distL="114300" distR="114300" simplePos="0" relativeHeight="251657728" behindDoc="0" locked="0" layoutInCell="1" allowOverlap="1">
            <wp:simplePos x="0" y="0"/>
            <wp:positionH relativeFrom="column">
              <wp:posOffset>1270</wp:posOffset>
            </wp:positionH>
            <wp:positionV relativeFrom="paragraph">
              <wp:posOffset>119380</wp:posOffset>
            </wp:positionV>
            <wp:extent cx="5772150" cy="542925"/>
            <wp:effectExtent l="0" t="0" r="0" b="952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50" cy="542925"/>
                    </a:xfrm>
                    <a:prstGeom prst="rect">
                      <a:avLst/>
                    </a:prstGeom>
                    <a:noFill/>
                  </pic:spPr>
                </pic:pic>
              </a:graphicData>
            </a:graphic>
            <wp14:sizeRelH relativeFrom="page">
              <wp14:pctWidth>0</wp14:pctWidth>
            </wp14:sizeRelH>
            <wp14:sizeRelV relativeFrom="page">
              <wp14:pctHeight>0</wp14:pctHeight>
            </wp14:sizeRelV>
          </wp:anchor>
        </w:drawing>
      </w:r>
    </w:p>
    <w:p w:rsidR="00843755" w:rsidRDefault="00843755" w:rsidP="00843755">
      <w:pPr>
        <w:jc w:val="both"/>
      </w:pPr>
    </w:p>
    <w:p w:rsidR="00843755" w:rsidRDefault="00843755" w:rsidP="00843755">
      <w:pPr>
        <w:jc w:val="both"/>
      </w:pPr>
    </w:p>
    <w:p w:rsidR="00843755" w:rsidRDefault="00843755" w:rsidP="00843755">
      <w:pPr>
        <w:jc w:val="both"/>
      </w:pPr>
    </w:p>
    <w:p w:rsidR="00843755" w:rsidRDefault="00843755" w:rsidP="00843755">
      <w:pPr>
        <w:jc w:val="both"/>
      </w:pPr>
    </w:p>
    <w:p w:rsidR="00843755" w:rsidRDefault="00843755" w:rsidP="00843755">
      <w:pPr>
        <w:jc w:val="both"/>
      </w:pPr>
      <w:r>
        <w:t>Dlatego wnosimy o poniższy zapis, który pozwoli nam na złożenie ważnej oferty.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3597"/>
        <w:gridCol w:w="1310"/>
        <w:gridCol w:w="1233"/>
        <w:gridCol w:w="2801"/>
      </w:tblGrid>
      <w:tr w:rsidR="00843755" w:rsidTr="00843755">
        <w:trPr>
          <w:trHeight w:val="855"/>
        </w:trPr>
        <w:tc>
          <w:tcPr>
            <w:tcW w:w="55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color w:val="000000"/>
                <w:lang w:val="en-US"/>
              </w:rPr>
            </w:pPr>
            <w:r>
              <w:rPr>
                <w:rFonts w:cs="Arial"/>
                <w:color w:val="000000"/>
              </w:rPr>
              <w:t>35</w:t>
            </w:r>
          </w:p>
        </w:tc>
        <w:tc>
          <w:tcPr>
            <w:tcW w:w="364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cs="Arial"/>
                <w:color w:val="000000"/>
              </w:rPr>
            </w:pPr>
            <w:r>
              <w:t xml:space="preserve">Maksymalna prędkość </w:t>
            </w:r>
            <w:proofErr w:type="spellStart"/>
            <w:r>
              <w:t>zliczeń</w:t>
            </w:r>
            <w:proofErr w:type="spellEnd"/>
            <w:r>
              <w:t xml:space="preserve"> NEC (</w:t>
            </w:r>
            <w:proofErr w:type="spellStart"/>
            <w:r>
              <w:t>kcps</w:t>
            </w:r>
            <w:proofErr w:type="spellEnd"/>
            <w:r>
              <w:t xml:space="preserve">) 3D wg NEMA </w:t>
            </w:r>
            <w:proofErr w:type="spellStart"/>
            <w:r>
              <w:t>Standards</w:t>
            </w:r>
            <w:proofErr w:type="spellEnd"/>
            <w:r>
              <w:t xml:space="preserve"> </w:t>
            </w:r>
            <w:proofErr w:type="spellStart"/>
            <w:r>
              <w:t>Publication</w:t>
            </w:r>
            <w:proofErr w:type="spellEnd"/>
            <w:r>
              <w:t xml:space="preserve"> NU2-2012</w:t>
            </w:r>
          </w:p>
        </w:tc>
        <w:tc>
          <w:tcPr>
            <w:tcW w:w="121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cs="Arial"/>
                <w:color w:val="000000"/>
                <w:lang w:val="en-US"/>
              </w:rPr>
            </w:pPr>
            <w:r>
              <w:rPr>
                <w:rFonts w:cs="Arial"/>
                <w:color w:val="000000"/>
              </w:rPr>
              <w:t xml:space="preserve">≥ 100 przy aktywności  </w:t>
            </w:r>
            <w:r>
              <w:rPr>
                <w:color w:val="000000"/>
              </w:rPr>
              <w:t>≤</w:t>
            </w:r>
            <w:r>
              <w:rPr>
                <w:rFonts w:cs="Arial"/>
                <w:color w:val="000000"/>
              </w:rPr>
              <w:t xml:space="preserve">8 </w:t>
            </w:r>
            <w:proofErr w:type="spellStart"/>
            <w:r>
              <w:rPr>
                <w:rFonts w:cs="Arial"/>
                <w:color w:val="000000"/>
              </w:rPr>
              <w:t>kBq</w:t>
            </w:r>
            <w:proofErr w:type="spellEnd"/>
            <w:r>
              <w:rPr>
                <w:rFonts w:cs="Arial"/>
                <w:color w:val="000000"/>
              </w:rPr>
              <w:t>/cc</w:t>
            </w:r>
          </w:p>
        </w:tc>
        <w:tc>
          <w:tcPr>
            <w:tcW w:w="125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cs="Arial"/>
                <w:i/>
                <w:iCs/>
                <w:color w:val="C0504D"/>
              </w:rPr>
            </w:pPr>
            <w:r>
              <w:rPr>
                <w:rFonts w:cs="Arial"/>
                <w:i/>
                <w:iCs/>
                <w:color w:val="C0504D"/>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cs="Arial"/>
                <w:color w:val="000000"/>
              </w:rPr>
            </w:pPr>
            <w:r>
              <w:rPr>
                <w:rFonts w:cs="Arial"/>
                <w:color w:val="000000"/>
              </w:rPr>
              <w:t>bez punktacji</w:t>
            </w:r>
          </w:p>
        </w:tc>
      </w:tr>
    </w:tbl>
    <w:p w:rsidR="00843755" w:rsidRDefault="00843755" w:rsidP="00843755">
      <w:pPr>
        <w:jc w:val="both"/>
        <w:rPr>
          <w:rFonts w:ascii="GE Inspira" w:hAnsi="GE Inspira"/>
          <w:b/>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41, 49 tabeli opisu skanera PET/CT</w:t>
      </w:r>
    </w:p>
    <w:p w:rsidR="00843755" w:rsidRDefault="00843755" w:rsidP="00843755">
      <w:pPr>
        <w:jc w:val="both"/>
      </w:pPr>
      <w:r>
        <w:t xml:space="preserve">Tomograf komputerowy do korekcji </w:t>
      </w:r>
      <w:proofErr w:type="spellStart"/>
      <w:r>
        <w:t>atenuacji</w:t>
      </w:r>
      <w:proofErr w:type="spellEnd"/>
      <w:r>
        <w:t xml:space="preserve">, lokalizacji anatomicznej oraz podstawowej diagnostyki onkologicznej nie wymaga najwyższych parametrów technicznych, a przy obniżonych wymaganiach jego koszty eksploatacyjne w kolejnych latach są istotnie niższe. Wyspecyfikowany tomograf 64 warstwowy jest urządzeniem 32 </w:t>
      </w:r>
      <w:proofErr w:type="spellStart"/>
      <w:r>
        <w:t>rzedowym</w:t>
      </w:r>
      <w:proofErr w:type="spellEnd"/>
      <w:r>
        <w:t xml:space="preserve"> z możliwością rekonstrukcji 64 warstw </w:t>
      </w:r>
      <w:proofErr w:type="spellStart"/>
      <w:r>
        <w:t>nakłądającyh</w:t>
      </w:r>
      <w:proofErr w:type="spellEnd"/>
      <w:r>
        <w:t xml:space="preserve"> się (</w:t>
      </w:r>
      <w:proofErr w:type="spellStart"/>
      <w:r>
        <w:t>overlaped</w:t>
      </w:r>
      <w:proofErr w:type="spellEnd"/>
      <w:r>
        <w:t xml:space="preserve">) o szerokości detektora tylko 19,2 mm. Dodatkowo wyposażony jest w niestandardową lampę </w:t>
      </w:r>
      <w:proofErr w:type="spellStart"/>
      <w:r>
        <w:t>rtg</w:t>
      </w:r>
      <w:proofErr w:type="spellEnd"/>
      <w:r>
        <w:t xml:space="preserve"> o szybkim chłodzeniu, która jednak kosztuje dwukrotnie więcej jod </w:t>
      </w:r>
      <w:proofErr w:type="spellStart"/>
      <w:r>
        <w:t>lampm</w:t>
      </w:r>
      <w:proofErr w:type="spellEnd"/>
      <w:r>
        <w:t xml:space="preserve"> </w:t>
      </w:r>
      <w:proofErr w:type="spellStart"/>
      <w:r>
        <w:t>rtg</w:t>
      </w:r>
      <w:proofErr w:type="spellEnd"/>
      <w:r>
        <w:t xml:space="preserve"> standardowych. Tomograf 16 warstwowy o którego dopuszczenie wnosimy posiada detektor o szerokości 20 mm i standardową lampę </w:t>
      </w:r>
      <w:proofErr w:type="spellStart"/>
      <w:r>
        <w:t>rtg</w:t>
      </w:r>
      <w:proofErr w:type="spellEnd"/>
      <w:r>
        <w:t>. Dlatego wnosimy o poniższe zapisy, które pozwolą nam na złożenie ważnej oferty.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1134"/>
        <w:gridCol w:w="1276"/>
        <w:gridCol w:w="2835"/>
      </w:tblGrid>
      <w:tr w:rsidR="00843755" w:rsidTr="00843755">
        <w:trPr>
          <w:trHeight w:val="765"/>
        </w:trPr>
        <w:tc>
          <w:tcPr>
            <w:tcW w:w="562"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lang w:val="en-US"/>
              </w:rPr>
            </w:pPr>
            <w:r>
              <w:rPr>
                <w:rFonts w:eastAsia="Calibri" w:cs="Arial"/>
              </w:rPr>
              <w:t>41</w:t>
            </w:r>
          </w:p>
        </w:tc>
        <w:tc>
          <w:tcPr>
            <w:tcW w:w="3686"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Tomograf komputerowy umożliwiający akwizycję minimum 16 warstw (</w:t>
            </w:r>
            <w:proofErr w:type="spellStart"/>
            <w:r>
              <w:rPr>
                <w:rFonts w:eastAsia="Calibri" w:cs="Arial"/>
              </w:rPr>
              <w:t>slices</w:t>
            </w:r>
            <w:proofErr w:type="spellEnd"/>
            <w:r>
              <w:rPr>
                <w:rFonts w:eastAsia="Calibri" w:cs="Arial"/>
              </w:rPr>
              <w:t xml:space="preserve">) podczas jednego pełnego obrotu układu lampa-detektor o szerokość detektora w osi Z odniesiona do </w:t>
            </w:r>
            <w:proofErr w:type="spellStart"/>
            <w:r>
              <w:rPr>
                <w:rFonts w:eastAsia="Calibri" w:cs="Arial"/>
              </w:rPr>
              <w:t>izocentrum</w:t>
            </w:r>
            <w:proofErr w:type="spellEnd"/>
            <w:r>
              <w:rPr>
                <w:rFonts w:eastAsia="Calibri" w:cs="Arial"/>
              </w:rPr>
              <w:t xml:space="preserve"> minimum 19 mm</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eastAsia="Calibri" w:cs="Arial"/>
                <w:lang w:val="en-US"/>
              </w:rPr>
            </w:pPr>
            <w:r>
              <w:rPr>
                <w:rFonts w:eastAsia="Calibri" w:cs="Arial"/>
              </w:rPr>
              <w:t>TAK</w:t>
            </w:r>
          </w:p>
        </w:tc>
        <w:tc>
          <w:tcPr>
            <w:tcW w:w="1276"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eastAsia="Calibri" w:cs="Arial"/>
              </w:rPr>
            </w:pPr>
            <w:r>
              <w:rPr>
                <w:rFonts w:eastAsia="Calibri" w:cs="Arial"/>
              </w:rPr>
              <w:t>bez punktacji</w:t>
            </w:r>
          </w:p>
        </w:tc>
      </w:tr>
      <w:tr w:rsidR="00843755" w:rsidTr="00843755">
        <w:trPr>
          <w:trHeight w:val="765"/>
        </w:trPr>
        <w:tc>
          <w:tcPr>
            <w:tcW w:w="562"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lang w:val="en-US"/>
              </w:rPr>
            </w:pPr>
            <w:r>
              <w:rPr>
                <w:rFonts w:eastAsia="Calibri" w:cs="Arial"/>
              </w:rPr>
              <w:t>49</w:t>
            </w:r>
          </w:p>
        </w:tc>
        <w:tc>
          <w:tcPr>
            <w:tcW w:w="3686"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 xml:space="preserve">Jednoczesna akwizycja minimum  16  </w:t>
            </w:r>
            <w:proofErr w:type="spellStart"/>
            <w:r>
              <w:rPr>
                <w:rFonts w:eastAsia="Calibri" w:cs="Arial"/>
              </w:rPr>
              <w:t>submilimetrowych</w:t>
            </w:r>
            <w:proofErr w:type="spellEnd"/>
            <w:r>
              <w:rPr>
                <w:rFonts w:eastAsia="Calibri" w:cs="Arial"/>
              </w:rPr>
              <w:t xml:space="preserve"> nienakładających się warstw </w:t>
            </w:r>
            <w:r>
              <w:rPr>
                <w:rFonts w:eastAsia="Calibri" w:cs="Arial"/>
              </w:rPr>
              <w:lastRenderedPageBreak/>
              <w:t>(</w:t>
            </w:r>
            <w:proofErr w:type="spellStart"/>
            <w:r>
              <w:rPr>
                <w:rFonts w:eastAsia="Calibri" w:cs="Arial"/>
                <w:i/>
                <w:iCs/>
              </w:rPr>
              <w:t>slices</w:t>
            </w:r>
            <w:proofErr w:type="spellEnd"/>
            <w:r>
              <w:rPr>
                <w:rFonts w:eastAsia="Calibri" w:cs="Arial"/>
              </w:rPr>
              <w:t>) w czasie jednego pełnego obrotu układu lampa-detektor</w:t>
            </w:r>
          </w:p>
        </w:tc>
        <w:tc>
          <w:tcPr>
            <w:tcW w:w="1134" w:type="dxa"/>
            <w:tcBorders>
              <w:top w:val="single" w:sz="4" w:space="0" w:color="auto"/>
              <w:left w:val="single" w:sz="4" w:space="0" w:color="auto"/>
              <w:bottom w:val="single" w:sz="4" w:space="0" w:color="auto"/>
              <w:right w:val="single" w:sz="4" w:space="0" w:color="auto"/>
            </w:tcBorders>
            <w:hideMark/>
          </w:tcPr>
          <w:p w:rsidR="00843755" w:rsidRDefault="00843755">
            <w:pPr>
              <w:jc w:val="center"/>
              <w:rPr>
                <w:rFonts w:eastAsia="Calibri" w:cs="Arial"/>
                <w:lang w:val="en-US"/>
              </w:rPr>
            </w:pPr>
            <w:r>
              <w:rPr>
                <w:rFonts w:eastAsia="Calibri" w:cs="Arial"/>
              </w:rPr>
              <w:lastRenderedPageBreak/>
              <w:t>TAK</w:t>
            </w:r>
          </w:p>
        </w:tc>
        <w:tc>
          <w:tcPr>
            <w:tcW w:w="1276"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 </w:t>
            </w:r>
          </w:p>
        </w:tc>
        <w:tc>
          <w:tcPr>
            <w:tcW w:w="2835" w:type="dxa"/>
            <w:tcBorders>
              <w:top w:val="single" w:sz="4" w:space="0" w:color="auto"/>
              <w:left w:val="single" w:sz="4" w:space="0" w:color="auto"/>
              <w:bottom w:val="single" w:sz="4" w:space="0" w:color="auto"/>
              <w:right w:val="single" w:sz="4" w:space="0" w:color="auto"/>
            </w:tcBorders>
            <w:hideMark/>
          </w:tcPr>
          <w:p w:rsidR="00843755" w:rsidRDefault="00843755">
            <w:pPr>
              <w:jc w:val="center"/>
              <w:rPr>
                <w:rFonts w:eastAsia="Calibri" w:cs="Arial"/>
              </w:rPr>
            </w:pPr>
            <w:r>
              <w:rPr>
                <w:rFonts w:eastAsia="Calibri" w:cs="Arial"/>
              </w:rPr>
              <w:t>bez punktacji</w:t>
            </w:r>
          </w:p>
        </w:tc>
      </w:tr>
    </w:tbl>
    <w:p w:rsidR="00843755" w:rsidRDefault="00843755" w:rsidP="00843755">
      <w:pPr>
        <w:jc w:val="both"/>
        <w:rPr>
          <w:rFonts w:ascii="GE Inspira" w:eastAsia="Times" w:hAnsi="GE Inspira"/>
          <w:kern w:val="8"/>
          <w:sz w:val="16"/>
          <w:szCs w:val="16"/>
          <w:lang w:eastAsia="en-US"/>
        </w:rPr>
      </w:pPr>
    </w:p>
    <w:p w:rsidR="00843755" w:rsidRDefault="00843755" w:rsidP="00843755">
      <w:pPr>
        <w:numPr>
          <w:ilvl w:val="0"/>
          <w:numId w:val="12"/>
        </w:numPr>
        <w:suppressAutoHyphens w:val="0"/>
        <w:spacing w:line="280" w:lineRule="exact"/>
        <w:jc w:val="both"/>
        <w:rPr>
          <w:b/>
          <w:sz w:val="22"/>
          <w:szCs w:val="22"/>
        </w:rPr>
      </w:pPr>
      <w:r>
        <w:rPr>
          <w:b/>
        </w:rPr>
        <w:t>Dotyczy załącznika nr 1 do SIWZ, w części PET/CT, pkt 42 tabeli opisu skanera PET/CT</w:t>
      </w:r>
    </w:p>
    <w:p w:rsidR="00843755" w:rsidRDefault="00843755" w:rsidP="00843755">
      <w:pPr>
        <w:jc w:val="both"/>
      </w:pPr>
      <w:r>
        <w:t>Badania transmisyjne CT przy badaniu PET wykonywane są w dużych odstępach czasu (ok 20 minut) i z reguły na stosunkowo niskich parametrach ekspozycji. Dlatego wysokie parametry generatora nie są niezbędne a jedynie podwyższają koszt zakupu i eksploatacji. Dlatego wnosimy o poniższy zapis, który pozwoli nam na złożenie konkurencyjnej oferty.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1134"/>
        <w:gridCol w:w="1276"/>
        <w:gridCol w:w="2835"/>
      </w:tblGrid>
      <w:tr w:rsidR="00843755" w:rsidTr="00843755">
        <w:trPr>
          <w:trHeight w:val="300"/>
        </w:trPr>
        <w:tc>
          <w:tcPr>
            <w:tcW w:w="56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lang w:val="en-US"/>
              </w:rPr>
            </w:pPr>
            <w:r>
              <w:rPr>
                <w:rFonts w:eastAsia="Calibri" w:cs="Arial"/>
              </w:rPr>
              <w:t>42</w:t>
            </w:r>
          </w:p>
        </w:tc>
        <w:tc>
          <w:tcPr>
            <w:tcW w:w="3686"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Moc generatora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 50 kW</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eastAsia="Calibri" w:cs="Arial"/>
              </w:rPr>
            </w:pPr>
            <w:r>
              <w:rPr>
                <w:rFonts w:eastAsia="Calibri" w:cs="Arial"/>
              </w:rPr>
              <w:t>bez punktacji</w:t>
            </w:r>
          </w:p>
        </w:tc>
      </w:tr>
    </w:tbl>
    <w:p w:rsidR="00843755" w:rsidRDefault="00843755" w:rsidP="00843755">
      <w:pPr>
        <w:jc w:val="both"/>
        <w:rPr>
          <w:rFonts w:ascii="GE Inspira" w:eastAsia="Times" w:hAnsi="GE Inspira"/>
          <w:kern w:val="8"/>
          <w:sz w:val="16"/>
          <w:szCs w:val="16"/>
          <w:lang w:eastAsia="en-US"/>
        </w:rPr>
      </w:pPr>
    </w:p>
    <w:p w:rsidR="00843755" w:rsidRDefault="00843755" w:rsidP="00843755">
      <w:pPr>
        <w:numPr>
          <w:ilvl w:val="0"/>
          <w:numId w:val="12"/>
        </w:numPr>
        <w:suppressAutoHyphens w:val="0"/>
        <w:spacing w:line="280" w:lineRule="exact"/>
        <w:jc w:val="both"/>
        <w:rPr>
          <w:b/>
          <w:sz w:val="22"/>
          <w:szCs w:val="22"/>
        </w:rPr>
      </w:pPr>
      <w:r>
        <w:rPr>
          <w:b/>
        </w:rPr>
        <w:t>Dotyczy załącznika nr 1 do SIWZ, w części PET/CT, pkt 44 tabeli opisu skanera PET/CT</w:t>
      </w:r>
    </w:p>
    <w:p w:rsidR="00843755" w:rsidRDefault="00843755" w:rsidP="00843755">
      <w:pPr>
        <w:jc w:val="both"/>
      </w:pPr>
      <w:r>
        <w:t>Badania transmisyjne CT przy badaniu PET wykonywane są w dużych odstępach czasu (ok 20 minut) i z reguły na stosunkowo niskich parametrach ekspozycji. Dlatego wysokie parametry ekspozycji nie są niezbędne a jedynie podwyższają koszt zakupu i eksploatacji. Dlatego wnosimy o poniższy zapis, który pozwoli nam na złożenie konkurencyjnej oferty.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1134"/>
        <w:gridCol w:w="1276"/>
        <w:gridCol w:w="2835"/>
      </w:tblGrid>
      <w:tr w:rsidR="00843755" w:rsidTr="00843755">
        <w:trPr>
          <w:trHeight w:val="300"/>
        </w:trPr>
        <w:tc>
          <w:tcPr>
            <w:tcW w:w="56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lang w:val="en-US"/>
              </w:rPr>
            </w:pPr>
            <w:r>
              <w:rPr>
                <w:rFonts w:eastAsia="Calibri" w:cs="Arial"/>
              </w:rPr>
              <w:t>44</w:t>
            </w:r>
          </w:p>
        </w:tc>
        <w:tc>
          <w:tcPr>
            <w:tcW w:w="3686"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 xml:space="preserve">Maksymalny prąd anody lampy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 xml:space="preserve">≥ 400 </w:t>
            </w:r>
            <w:proofErr w:type="spellStart"/>
            <w:r>
              <w:rPr>
                <w:rFonts w:eastAsia="Calibri" w:cs="Arial"/>
              </w:rPr>
              <w:t>mA</w:t>
            </w:r>
            <w:proofErr w:type="spellEnd"/>
            <w:r>
              <w:rPr>
                <w:rFonts w:eastAsia="Calibri" w:cs="Aria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eastAsia="Calibri" w:cs="Arial"/>
              </w:rPr>
            </w:pPr>
            <w:r>
              <w:rPr>
                <w:rFonts w:eastAsia="Calibri" w:cs="Arial"/>
              </w:rPr>
              <w:t>bez punktacji</w:t>
            </w:r>
          </w:p>
        </w:tc>
      </w:tr>
    </w:tbl>
    <w:p w:rsidR="00843755" w:rsidRDefault="00843755" w:rsidP="00843755">
      <w:pPr>
        <w:jc w:val="both"/>
        <w:rPr>
          <w:rFonts w:ascii="GE Inspira" w:eastAsia="Times" w:hAnsi="GE Inspira"/>
          <w:kern w:val="8"/>
          <w:sz w:val="16"/>
          <w:szCs w:val="16"/>
          <w:lang w:eastAsia="en-US"/>
        </w:rPr>
      </w:pPr>
    </w:p>
    <w:p w:rsidR="00843755" w:rsidRDefault="00843755" w:rsidP="00843755">
      <w:pPr>
        <w:numPr>
          <w:ilvl w:val="0"/>
          <w:numId w:val="12"/>
        </w:numPr>
        <w:suppressAutoHyphens w:val="0"/>
        <w:spacing w:line="280" w:lineRule="exact"/>
        <w:jc w:val="both"/>
        <w:rPr>
          <w:b/>
          <w:sz w:val="22"/>
          <w:szCs w:val="22"/>
        </w:rPr>
      </w:pPr>
      <w:r>
        <w:rPr>
          <w:b/>
        </w:rPr>
        <w:t>Dotyczy załącznika nr 1 do SIWZ, w części PET/CT, pkt 46 tabeli opisu skanera PET/CT</w:t>
      </w:r>
    </w:p>
    <w:p w:rsidR="00843755" w:rsidRDefault="00843755" w:rsidP="00843755">
      <w:pPr>
        <w:jc w:val="both"/>
      </w:pPr>
      <w:r>
        <w:t xml:space="preserve">Badania transmisyjne CT przy badaniu PET wykonywane są w dużych odstępach czasu (ok 20 minut) i z reguły na stosunkowo niskich parametrach ekspozycji. Dlatego szybkie chłodzenie anody nie jest niezbędne a jedynie podwyższa koszt zakupu i eksploatacji. Ponadto chłodzenie anody lampy </w:t>
      </w:r>
      <w:proofErr w:type="spellStart"/>
      <w:r>
        <w:t>rtg</w:t>
      </w:r>
      <w:proofErr w:type="spellEnd"/>
      <w:r>
        <w:t xml:space="preserve"> z szybkością ≥ 6 MHU/min jest wskazaniem na jednego producenta. Dlatego wnosimy o poniższy zapis, który pozwoli nam na złożenie ważnej oferty.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1153"/>
        <w:gridCol w:w="1250"/>
        <w:gridCol w:w="2842"/>
      </w:tblGrid>
      <w:tr w:rsidR="00843755" w:rsidTr="00843755">
        <w:trPr>
          <w:trHeight w:val="300"/>
        </w:trPr>
        <w:tc>
          <w:tcPr>
            <w:tcW w:w="56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lang w:val="en-US"/>
              </w:rPr>
            </w:pPr>
            <w:r>
              <w:rPr>
                <w:rFonts w:eastAsia="Calibri" w:cs="Arial"/>
              </w:rPr>
              <w:t>46</w:t>
            </w:r>
          </w:p>
        </w:tc>
        <w:tc>
          <w:tcPr>
            <w:tcW w:w="3686"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Szybkość chłodzenia anody</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eastAsia="Calibri" w:cs="Arial"/>
              </w:rPr>
            </w:pPr>
            <w:r>
              <w:rPr>
                <w:rFonts w:eastAsia="Calibri" w:cs="Arial"/>
              </w:rPr>
              <w:t xml:space="preserve">≥ 800               </w:t>
            </w:r>
            <w:proofErr w:type="spellStart"/>
            <w:r>
              <w:rPr>
                <w:rFonts w:eastAsia="Calibri" w:cs="Arial"/>
              </w:rPr>
              <w:t>kHU</w:t>
            </w:r>
            <w:proofErr w:type="spellEnd"/>
            <w:r>
              <w:rPr>
                <w:rFonts w:eastAsia="Calibri" w:cs="Arial"/>
              </w:rPr>
              <w:t xml:space="preserve">/min </w:t>
            </w:r>
          </w:p>
        </w:tc>
        <w:tc>
          <w:tcPr>
            <w:tcW w:w="125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 </w:t>
            </w:r>
          </w:p>
        </w:tc>
        <w:tc>
          <w:tcPr>
            <w:tcW w:w="284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eastAsia="Calibri" w:cs="Arial"/>
              </w:rPr>
            </w:pPr>
            <w:r>
              <w:rPr>
                <w:rFonts w:eastAsia="Calibri" w:cs="Arial"/>
              </w:rPr>
              <w:t>bez punktacji</w:t>
            </w:r>
          </w:p>
        </w:tc>
      </w:tr>
    </w:tbl>
    <w:p w:rsidR="00843755" w:rsidRDefault="00843755" w:rsidP="00843755">
      <w:pPr>
        <w:jc w:val="both"/>
        <w:rPr>
          <w:rFonts w:ascii="GE Inspira" w:eastAsia="Times" w:hAnsi="GE Inspira"/>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56 tabeli opisu skanera PET/CT</w:t>
      </w:r>
    </w:p>
    <w:p w:rsidR="00843755" w:rsidRDefault="00843755" w:rsidP="00843755">
      <w:pPr>
        <w:jc w:val="both"/>
      </w:pPr>
      <w:r>
        <w:t>Ponieważ dotychczasowy zapis był niejednoznaczny dlatego wnosimy o poniższy zapis, który pozwoli nam na złożenie ważnej oferty.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1288"/>
        <w:gridCol w:w="1188"/>
        <w:gridCol w:w="2769"/>
      </w:tblGrid>
      <w:tr w:rsidR="00843755" w:rsidTr="00843755">
        <w:trPr>
          <w:trHeight w:val="765"/>
        </w:trPr>
        <w:tc>
          <w:tcPr>
            <w:tcW w:w="56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lang w:val="en-US"/>
              </w:rPr>
            </w:pPr>
            <w:r>
              <w:rPr>
                <w:rFonts w:eastAsia="Calibri" w:cs="Arial"/>
              </w:rPr>
              <w:t>56</w:t>
            </w:r>
          </w:p>
        </w:tc>
        <w:tc>
          <w:tcPr>
            <w:tcW w:w="3686" w:type="dxa"/>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eastAsia="Calibri" w:cs="Arial"/>
              </w:rPr>
            </w:pPr>
            <w:r>
              <w:rPr>
                <w:rFonts w:eastAsia="Calibri" w:cs="Arial"/>
              </w:rPr>
              <w:t xml:space="preserve">Maksymalny zakres badania w skanowaniu spiralnym, bez repozycjonowania pacjenta, w całym zakresie grubości warstw  </w:t>
            </w:r>
            <w:r>
              <w:rPr>
                <w:rFonts w:eastAsia="Calibri" w:cs="Arial"/>
                <w:i/>
                <w:iCs/>
              </w:rPr>
              <w:t>(</w:t>
            </w:r>
            <w:proofErr w:type="spellStart"/>
            <w:r>
              <w:rPr>
                <w:rFonts w:eastAsia="Calibri" w:cs="Arial"/>
                <w:i/>
                <w:iCs/>
              </w:rPr>
              <w:t>imaged</w:t>
            </w:r>
            <w:proofErr w:type="spellEnd"/>
            <w:r>
              <w:rPr>
                <w:rFonts w:eastAsia="Calibri" w:cs="Arial"/>
                <w:i/>
                <w:iCs/>
              </w:rPr>
              <w:t xml:space="preserve"> </w:t>
            </w:r>
            <w:proofErr w:type="spellStart"/>
            <w:r>
              <w:rPr>
                <w:rFonts w:eastAsia="Calibri" w:cs="Arial"/>
                <w:i/>
                <w:iCs/>
              </w:rPr>
              <w:t>slice</w:t>
            </w:r>
            <w:proofErr w:type="spellEnd"/>
            <w:r>
              <w:rPr>
                <w:rFonts w:eastAsia="Calibri" w:cs="Arial"/>
                <w:i/>
                <w:iCs/>
              </w:rPr>
              <w:t xml:space="preserve"> </w:t>
            </w:r>
            <w:proofErr w:type="spellStart"/>
            <w:r>
              <w:rPr>
                <w:rFonts w:eastAsia="Calibri" w:cs="Arial"/>
                <w:i/>
                <w:iCs/>
              </w:rPr>
              <w:t>thickness</w:t>
            </w:r>
            <w:proofErr w:type="spellEnd"/>
            <w:r>
              <w:rPr>
                <w:rFonts w:eastAsia="Calibri" w:cs="Arial"/>
                <w:i/>
                <w:iCs/>
              </w:rPr>
              <w:t xml:space="preserve">) </w:t>
            </w:r>
            <w:r>
              <w:rPr>
                <w:rFonts w:eastAsia="Calibri" w:cs="Arial"/>
              </w:rPr>
              <w:t xml:space="preserve">i w całym zakresie zmienności </w:t>
            </w:r>
            <w:proofErr w:type="spellStart"/>
            <w:r>
              <w:rPr>
                <w:rFonts w:eastAsia="Calibri" w:cs="Arial"/>
                <w:i/>
                <w:iCs/>
              </w:rPr>
              <w:t>pitch</w:t>
            </w:r>
            <w:proofErr w:type="spellEnd"/>
          </w:p>
        </w:tc>
        <w:tc>
          <w:tcPr>
            <w:tcW w:w="1288"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lang w:val="en-US"/>
              </w:rPr>
            </w:pPr>
            <w:r>
              <w:rPr>
                <w:rFonts w:eastAsia="Calibri" w:cs="Arial"/>
              </w:rPr>
              <w:t>≥ 170 cm</w:t>
            </w:r>
          </w:p>
        </w:tc>
        <w:tc>
          <w:tcPr>
            <w:tcW w:w="1188"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 </w:t>
            </w:r>
          </w:p>
        </w:tc>
        <w:tc>
          <w:tcPr>
            <w:tcW w:w="2769"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eastAsia="Calibri" w:cs="Arial"/>
              </w:rPr>
            </w:pPr>
            <w:r>
              <w:rPr>
                <w:rFonts w:eastAsia="Calibri" w:cs="Arial"/>
              </w:rPr>
              <w:t>bez punktacji</w:t>
            </w:r>
          </w:p>
        </w:tc>
      </w:tr>
    </w:tbl>
    <w:p w:rsidR="00843755" w:rsidRDefault="00843755" w:rsidP="00843755">
      <w:pPr>
        <w:jc w:val="both"/>
        <w:rPr>
          <w:rFonts w:ascii="GE Inspira" w:eastAsia="Times" w:hAnsi="GE Inspira"/>
          <w:b/>
          <w:kern w:val="8"/>
          <w:sz w:val="22"/>
          <w:szCs w:val="22"/>
          <w:lang w:eastAsia="en-US"/>
        </w:rPr>
      </w:pPr>
    </w:p>
    <w:p w:rsidR="00843755" w:rsidRDefault="00843755" w:rsidP="00843755">
      <w:pPr>
        <w:numPr>
          <w:ilvl w:val="0"/>
          <w:numId w:val="12"/>
        </w:numPr>
        <w:suppressAutoHyphens w:val="0"/>
        <w:spacing w:line="280" w:lineRule="exact"/>
        <w:jc w:val="both"/>
        <w:rPr>
          <w:b/>
        </w:rPr>
      </w:pPr>
      <w:r>
        <w:rPr>
          <w:b/>
        </w:rPr>
        <w:t xml:space="preserve">Dotyczy załącznika nr 1 do SIWZ, w części PET/CT, pkt 57 tabeli opisu skanera PET/CT </w:t>
      </w:r>
    </w:p>
    <w:p w:rsidR="00843755" w:rsidRDefault="00843755" w:rsidP="00843755">
      <w:pPr>
        <w:jc w:val="both"/>
      </w:pPr>
      <w:r>
        <w:t xml:space="preserve">Wnosimy o dopuszczenie skanera o maksymalnej długości skanu przeglądowego ≥190 cm. Pozytywna odpowiedź pozwoli nam na złożenie ważnej oferty.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1110"/>
        <w:gridCol w:w="2150"/>
        <w:gridCol w:w="1843"/>
      </w:tblGrid>
      <w:tr w:rsidR="00843755" w:rsidTr="00843755">
        <w:trPr>
          <w:trHeight w:val="510"/>
        </w:trPr>
        <w:tc>
          <w:tcPr>
            <w:tcW w:w="56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lang w:val="en-US"/>
              </w:rPr>
            </w:pPr>
            <w:r>
              <w:rPr>
                <w:rFonts w:eastAsia="Calibri" w:cs="Arial"/>
              </w:rPr>
              <w:t>57</w:t>
            </w:r>
          </w:p>
        </w:tc>
        <w:tc>
          <w:tcPr>
            <w:tcW w:w="3686" w:type="dxa"/>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eastAsia="Calibri" w:cs="Arial"/>
              </w:rPr>
            </w:pPr>
            <w:r>
              <w:rPr>
                <w:rFonts w:eastAsia="Calibri" w:cs="Arial"/>
              </w:rPr>
              <w:t xml:space="preserve">Maksymalna długość skanu przeglądowego (SPR: </w:t>
            </w:r>
            <w:proofErr w:type="spellStart"/>
            <w:r>
              <w:rPr>
                <w:rFonts w:eastAsia="Calibri" w:cs="Arial"/>
              </w:rPr>
              <w:t>topogram</w:t>
            </w:r>
            <w:proofErr w:type="spellEnd"/>
            <w:r>
              <w:rPr>
                <w:rFonts w:eastAsia="Calibri" w:cs="Arial"/>
              </w:rPr>
              <w:t xml:space="preserve">, </w:t>
            </w:r>
            <w:proofErr w:type="spellStart"/>
            <w:r>
              <w:rPr>
                <w:rFonts w:eastAsia="Calibri" w:cs="Arial"/>
              </w:rPr>
              <w:t>scanogram</w:t>
            </w:r>
            <w:proofErr w:type="spellEnd"/>
            <w:r>
              <w:rPr>
                <w:rFonts w:eastAsia="Calibri" w:cs="Arial"/>
              </w:rPr>
              <w:t xml:space="preserve">, </w:t>
            </w:r>
            <w:proofErr w:type="spellStart"/>
            <w:r>
              <w:rPr>
                <w:rFonts w:eastAsia="Calibri" w:cs="Arial"/>
              </w:rPr>
              <w:t>scout</w:t>
            </w:r>
            <w:proofErr w:type="spellEnd"/>
            <w:r>
              <w:rPr>
                <w:rFonts w:eastAsia="Calibri" w:cs="Arial"/>
              </w:rPr>
              <w:t xml:space="preserve"> lub równoważne)</w:t>
            </w:r>
          </w:p>
        </w:tc>
        <w:tc>
          <w:tcPr>
            <w:tcW w:w="111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u w:val="single"/>
                <w:lang w:val="en-US"/>
              </w:rPr>
            </w:pPr>
            <w:r>
              <w:rPr>
                <w:rFonts w:eastAsia="Calibri" w:cs="Arial"/>
              </w:rPr>
              <w:t>≥ 190 cm</w:t>
            </w:r>
          </w:p>
        </w:tc>
        <w:tc>
          <w:tcPr>
            <w:tcW w:w="215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eastAsia="Calibri" w:cs="Arial"/>
              </w:rPr>
            </w:pPr>
            <w:r>
              <w:rPr>
                <w:rFonts w:eastAsia="Calibri" w:cs="Arial"/>
              </w:rPr>
              <w:t>bez punktacji</w:t>
            </w:r>
          </w:p>
        </w:tc>
      </w:tr>
    </w:tbl>
    <w:p w:rsidR="00843755" w:rsidRDefault="00843755" w:rsidP="00843755">
      <w:pPr>
        <w:jc w:val="both"/>
        <w:rPr>
          <w:b/>
          <w:color w:val="FF0000"/>
        </w:rPr>
      </w:pPr>
    </w:p>
    <w:p w:rsidR="00843755" w:rsidRDefault="00843755" w:rsidP="00843755">
      <w:pPr>
        <w:numPr>
          <w:ilvl w:val="0"/>
          <w:numId w:val="12"/>
        </w:numPr>
        <w:suppressAutoHyphens w:val="0"/>
        <w:spacing w:line="280" w:lineRule="exact"/>
        <w:jc w:val="both"/>
        <w:rPr>
          <w:b/>
        </w:rPr>
      </w:pPr>
      <w:r>
        <w:rPr>
          <w:b/>
        </w:rPr>
        <w:t>Dotyczy załącznika nr 1 do SIWZ, w części PET/CT, pkt 59 tabeli opisu skanera PET/CT</w:t>
      </w:r>
    </w:p>
    <w:p w:rsidR="00843755" w:rsidRDefault="00843755" w:rsidP="00843755">
      <w:pPr>
        <w:jc w:val="both"/>
      </w:pPr>
      <w:r>
        <w:t>Zważywszy na fakt, że badanie tomografii komputerowej jest wykonywane sekwencyjnie z badaniem PET które trwa co najmniej kilka minut czas rekonstrukcji nie jest krytyczny dlatego wnosimy o poniższy zapis, który pozwoli nam na złożenie ważnej oferty.</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3575"/>
        <w:gridCol w:w="1047"/>
        <w:gridCol w:w="2201"/>
        <w:gridCol w:w="1843"/>
      </w:tblGrid>
      <w:tr w:rsidR="00843755" w:rsidTr="00843755">
        <w:trPr>
          <w:trHeight w:val="765"/>
        </w:trPr>
        <w:tc>
          <w:tcPr>
            <w:tcW w:w="685"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lang w:val="en-US"/>
              </w:rPr>
            </w:pPr>
            <w:r>
              <w:rPr>
                <w:rFonts w:eastAsia="Calibri" w:cs="Arial"/>
              </w:rPr>
              <w:lastRenderedPageBreak/>
              <w:t>59</w:t>
            </w:r>
          </w:p>
        </w:tc>
        <w:tc>
          <w:tcPr>
            <w:tcW w:w="3575"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 xml:space="preserve">Szybkości rekonstrukcji w obszarze tułowia z zachowaniem pełnej jakości obrazowania, matryca 512x512 [ilość obrazów na sekundę; </w:t>
            </w:r>
            <w:proofErr w:type="spellStart"/>
            <w:r>
              <w:rPr>
                <w:rFonts w:eastAsia="Calibri" w:cs="Arial"/>
              </w:rPr>
              <w:t>ips</w:t>
            </w:r>
            <w:proofErr w:type="spellEnd"/>
            <w:r>
              <w:rPr>
                <w:rFonts w:eastAsia="Calibri" w:cs="Arial"/>
              </w:rPr>
              <w:t xml:space="preserve"> = </w:t>
            </w:r>
            <w:r>
              <w:rPr>
                <w:rFonts w:eastAsia="Calibri" w:cs="Arial"/>
                <w:i/>
                <w:iCs/>
              </w:rPr>
              <w:t xml:space="preserve">image per </w:t>
            </w:r>
            <w:proofErr w:type="spellStart"/>
            <w:r>
              <w:rPr>
                <w:rFonts w:eastAsia="Calibri" w:cs="Arial"/>
                <w:i/>
                <w:iCs/>
              </w:rPr>
              <w:t>second</w:t>
            </w:r>
            <w:proofErr w:type="spellEnd"/>
            <w:r>
              <w:rPr>
                <w:rFonts w:eastAsia="Calibri" w:cs="Arial"/>
              </w:rPr>
              <w:t>]</w:t>
            </w:r>
          </w:p>
        </w:tc>
        <w:tc>
          <w:tcPr>
            <w:tcW w:w="1047"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lang w:val="en-US"/>
              </w:rPr>
            </w:pPr>
            <w:r>
              <w:rPr>
                <w:rFonts w:eastAsia="Calibri" w:cs="Arial"/>
              </w:rPr>
              <w:t xml:space="preserve">≥ 30 </w:t>
            </w:r>
            <w:proofErr w:type="spellStart"/>
            <w:r>
              <w:rPr>
                <w:rFonts w:eastAsia="Calibri" w:cs="Arial"/>
              </w:rPr>
              <w:t>ips</w:t>
            </w:r>
            <w:proofErr w:type="spellEnd"/>
          </w:p>
        </w:tc>
        <w:tc>
          <w:tcPr>
            <w:tcW w:w="2201"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bez punktacji</w:t>
            </w:r>
          </w:p>
        </w:tc>
      </w:tr>
    </w:tbl>
    <w:p w:rsidR="00843755" w:rsidRDefault="00843755" w:rsidP="00843755">
      <w:pPr>
        <w:numPr>
          <w:ilvl w:val="0"/>
          <w:numId w:val="12"/>
        </w:numPr>
        <w:suppressAutoHyphens w:val="0"/>
        <w:spacing w:line="280" w:lineRule="exact"/>
        <w:jc w:val="both"/>
        <w:rPr>
          <w:b/>
        </w:rPr>
      </w:pPr>
      <w:r>
        <w:rPr>
          <w:b/>
        </w:rPr>
        <w:t>Dotyczy załącznika nr 1 do SIWZ, w części PET/CT, pkt 62 tabeli opisu skanera PET/CT</w:t>
      </w:r>
    </w:p>
    <w:p w:rsidR="00843755" w:rsidRDefault="00843755" w:rsidP="00843755">
      <w:pPr>
        <w:jc w:val="both"/>
      </w:pPr>
      <w:r>
        <w:t xml:space="preserve">Ponieważ w chwili składania ofert opcja ta jeszcze nie jest dostępna wnosimy o opcjonalny wymóg tego oprogramowania, który w naszym przypadku będzie dostępne w </w:t>
      </w:r>
      <w:proofErr w:type="spellStart"/>
      <w:r>
        <w:t>czwratym</w:t>
      </w:r>
      <w:proofErr w:type="spellEnd"/>
      <w:r>
        <w:t xml:space="preserve"> kwartale tego roku. W związku z tym wnosimy o poniższy zapis, który pozwoli nam na złożenie ważnej oferty.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542"/>
        <w:gridCol w:w="1133"/>
        <w:gridCol w:w="2125"/>
        <w:gridCol w:w="1842"/>
      </w:tblGrid>
      <w:tr w:rsidR="00843755" w:rsidTr="00843755">
        <w:trPr>
          <w:trHeight w:val="765"/>
        </w:trPr>
        <w:tc>
          <w:tcPr>
            <w:tcW w:w="70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lang w:val="en-US"/>
              </w:rPr>
            </w:pPr>
            <w:r>
              <w:rPr>
                <w:rFonts w:eastAsia="Calibri" w:cs="Arial"/>
              </w:rPr>
              <w:t>62</w:t>
            </w:r>
          </w:p>
        </w:tc>
        <w:tc>
          <w:tcPr>
            <w:tcW w:w="354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eastAsia="Calibri" w:cs="Arial"/>
              </w:rPr>
            </w:pPr>
            <w:r>
              <w:rPr>
                <w:rFonts w:eastAsia="Calibri" w:cs="Arial"/>
              </w:rPr>
              <w:t>Oprogramowanie iteracyjnej redukcji artefaktów powodowanych przez elementy metalowe. Podać nazwę licencji/oprogramowania.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43755" w:rsidRDefault="00843755">
            <w:pPr>
              <w:jc w:val="center"/>
              <w:rPr>
                <w:rFonts w:eastAsia="Calibri" w:cs="Arial"/>
              </w:rPr>
            </w:pPr>
            <w:r>
              <w:rPr>
                <w:rFonts w:eastAsia="Calibri" w:cs="Arial"/>
              </w:rPr>
              <w:t>TAK/NIE</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843755" w:rsidRDefault="00843755">
            <w:pPr>
              <w:jc w:val="both"/>
              <w:rPr>
                <w:rFonts w:eastAsia="Calibri" w:cs="Arial"/>
              </w:rPr>
            </w:pPr>
            <w:r>
              <w:rPr>
                <w:rFonts w:eastAsia="Calibri" w:cs="Arial"/>
              </w:rPr>
              <w:t> </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43755" w:rsidRDefault="00843755">
            <w:pPr>
              <w:jc w:val="center"/>
              <w:rPr>
                <w:rFonts w:eastAsia="Calibri" w:cs="Arial"/>
              </w:rPr>
            </w:pPr>
            <w:r>
              <w:rPr>
                <w:rFonts w:eastAsia="Calibri" w:cs="Arial"/>
              </w:rPr>
              <w:t>Tak = 2 pkt</w:t>
            </w:r>
          </w:p>
          <w:p w:rsidR="00843755" w:rsidRDefault="00843755">
            <w:pPr>
              <w:jc w:val="center"/>
              <w:rPr>
                <w:rFonts w:eastAsia="Calibri" w:cs="Arial"/>
              </w:rPr>
            </w:pPr>
            <w:r>
              <w:rPr>
                <w:rFonts w:eastAsia="Calibri" w:cs="Arial"/>
              </w:rPr>
              <w:t>Nie = 0 pkt</w:t>
            </w:r>
          </w:p>
        </w:tc>
      </w:tr>
    </w:tbl>
    <w:p w:rsidR="00843755" w:rsidRDefault="00843755" w:rsidP="00843755">
      <w:pPr>
        <w:numPr>
          <w:ilvl w:val="0"/>
          <w:numId w:val="12"/>
        </w:numPr>
        <w:suppressAutoHyphens w:val="0"/>
        <w:spacing w:line="280" w:lineRule="exact"/>
        <w:jc w:val="both"/>
        <w:rPr>
          <w:b/>
        </w:rPr>
      </w:pPr>
      <w:r>
        <w:rPr>
          <w:b/>
        </w:rPr>
        <w:t>Dotyczy załącznika nr 1 do SIWZ, w części PET/CT, pkt 73 tabeli opisu skanera PET/CT</w:t>
      </w:r>
    </w:p>
    <w:p w:rsidR="00843755" w:rsidRDefault="00843755" w:rsidP="00843755">
      <w:r>
        <w:t>Ze względu na niejednoznaczność zapisów oraz powtórzenie parametru z pkt 62 wnosimy o całkowite wykreślenie tego parametru jak poniżej co pozwoli nam na złożenie ważnej oferty.</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564"/>
        <w:gridCol w:w="1091"/>
        <w:gridCol w:w="2172"/>
        <w:gridCol w:w="1843"/>
      </w:tblGrid>
      <w:tr w:rsidR="00843755" w:rsidTr="00843755">
        <w:trPr>
          <w:trHeight w:val="960"/>
        </w:trPr>
        <w:tc>
          <w:tcPr>
            <w:tcW w:w="681"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lang w:val="en-US"/>
              </w:rPr>
            </w:pPr>
            <w:r>
              <w:rPr>
                <w:rFonts w:eastAsia="Calibri" w:cs="Arial"/>
              </w:rPr>
              <w:t>73</w:t>
            </w:r>
          </w:p>
        </w:tc>
        <w:tc>
          <w:tcPr>
            <w:tcW w:w="356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eastAsia="Calibri" w:cs="Arial"/>
                <w:strike/>
              </w:rPr>
            </w:pPr>
            <w:r>
              <w:rPr>
                <w:rFonts w:eastAsia="Calibri" w:cs="Arial"/>
                <w:strike/>
              </w:rPr>
              <w:t>Optymalizacja jakości obrazów – korekcja słabego sygnału, redukcja szumów, redukcja artefaktów (w tym pochodzących od elementów metalowych np. protez), automatyka doboru filtrów</w:t>
            </w:r>
          </w:p>
          <w:p w:rsidR="00843755" w:rsidRDefault="00843755">
            <w:pPr>
              <w:rPr>
                <w:rFonts w:eastAsia="Calibri" w:cs="Arial"/>
                <w:iCs/>
                <w:u w:val="single"/>
              </w:rPr>
            </w:pPr>
            <w:r>
              <w:rPr>
                <w:rFonts w:eastAsia="Calibri" w:cs="Arial"/>
                <w:iCs/>
                <w:u w:val="single"/>
              </w:rPr>
              <w:t>Wiersz wykreślony</w:t>
            </w:r>
          </w:p>
        </w:tc>
        <w:tc>
          <w:tcPr>
            <w:tcW w:w="1091"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eastAsia="Calibri" w:cs="Arial"/>
                <w:strike/>
                <w:lang w:val="en-US"/>
              </w:rPr>
            </w:pPr>
            <w:r>
              <w:rPr>
                <w:rFonts w:eastAsia="Calibri" w:cs="Arial"/>
                <w:strike/>
              </w:rPr>
              <w:t>TAK</w:t>
            </w:r>
          </w:p>
        </w:tc>
        <w:tc>
          <w:tcPr>
            <w:tcW w:w="2172"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strike/>
              </w:rPr>
            </w:pPr>
            <w:r>
              <w:rPr>
                <w:rFonts w:eastAsia="Calibri" w:cs="Arial"/>
                <w:strike/>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center"/>
              <w:rPr>
                <w:rFonts w:eastAsia="Calibri" w:cs="Arial"/>
                <w:strike/>
              </w:rPr>
            </w:pPr>
            <w:r>
              <w:rPr>
                <w:rFonts w:eastAsia="Calibri" w:cs="Arial"/>
                <w:strike/>
              </w:rPr>
              <w:t>bez punktacji</w:t>
            </w:r>
          </w:p>
        </w:tc>
      </w:tr>
    </w:tbl>
    <w:p w:rsidR="00843755" w:rsidRDefault="00843755" w:rsidP="00843755">
      <w:pPr>
        <w:jc w:val="both"/>
        <w:rPr>
          <w:rFonts w:ascii="GE Inspira" w:eastAsia="Times" w:hAnsi="GE Inspira"/>
          <w:b/>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86 tabeli opisu skanera PET/CT</w:t>
      </w:r>
    </w:p>
    <w:p w:rsidR="00843755" w:rsidRDefault="00843755" w:rsidP="00843755">
      <w:pPr>
        <w:jc w:val="both"/>
      </w:pPr>
      <w:r>
        <w:t xml:space="preserve">Czy Zamawiający potwierdza, że chodzi o licencje </w:t>
      </w:r>
      <w:r>
        <w:rPr>
          <w:bCs/>
        </w:rPr>
        <w:t>permanentne/nie wygasające?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739"/>
        <w:gridCol w:w="1134"/>
        <w:gridCol w:w="1984"/>
        <w:gridCol w:w="1843"/>
      </w:tblGrid>
      <w:tr w:rsidR="00843755" w:rsidTr="00843755">
        <w:trPr>
          <w:trHeight w:val="1020"/>
        </w:trPr>
        <w:tc>
          <w:tcPr>
            <w:tcW w:w="651"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lang w:val="en-US"/>
              </w:rPr>
            </w:pPr>
            <w:r>
              <w:rPr>
                <w:rFonts w:eastAsia="Calibri" w:cs="Arial"/>
              </w:rPr>
              <w:t>86</w:t>
            </w:r>
          </w:p>
        </w:tc>
        <w:tc>
          <w:tcPr>
            <w:tcW w:w="3739" w:type="dxa"/>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eastAsia="Calibri" w:cs="Arial"/>
                <w:bCs/>
              </w:rPr>
            </w:pPr>
            <w:r>
              <w:rPr>
                <w:rFonts w:eastAsia="Calibri" w:cs="Arial"/>
                <w:bCs/>
              </w:rPr>
              <w:t>Konsole diagnostyczno-opisowe skanera PET/CT składające się z  Serwera aplikacji i 2 stacji opisowych z licencjami pływającymi (</w:t>
            </w:r>
            <w:proofErr w:type="spellStart"/>
            <w:r>
              <w:rPr>
                <w:rFonts w:eastAsia="Calibri" w:cs="Arial"/>
                <w:bCs/>
              </w:rPr>
              <w:t>floatinglicense</w:t>
            </w:r>
            <w:proofErr w:type="spellEnd"/>
            <w:r>
              <w:rPr>
                <w:rFonts w:eastAsia="Calibri" w:cs="Arial"/>
                <w:bCs/>
              </w:rPr>
              <w:t>) na oprogramowanie z jednoczesnym dostępem dla dwóch użytkowników</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bCs/>
                <w:lang w:val="en-US"/>
              </w:rPr>
            </w:pPr>
            <w:r>
              <w:rPr>
                <w:rFonts w:eastAsia="Calibri" w:cs="Arial"/>
                <w:bCs/>
              </w:rPr>
              <w:t>TAK, 2 szt.</w:t>
            </w:r>
          </w:p>
        </w:tc>
        <w:tc>
          <w:tcPr>
            <w:tcW w:w="1984" w:type="dxa"/>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eastAsia="Calibri" w:cs="Arial"/>
                <w:bC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ascii="GE Inspira" w:eastAsia="Calibri" w:hAnsi="GE Inspira" w:cs="Arial"/>
                <w:color w:val="FF0000"/>
                <w:kern w:val="8"/>
                <w:sz w:val="22"/>
                <w:szCs w:val="22"/>
                <w:lang w:eastAsia="en-US"/>
              </w:rPr>
            </w:pPr>
            <w:r>
              <w:rPr>
                <w:rFonts w:eastAsia="Calibri" w:cs="Arial"/>
                <w:color w:val="FF0000"/>
              </w:rPr>
              <w:t> </w:t>
            </w:r>
          </w:p>
        </w:tc>
      </w:tr>
    </w:tbl>
    <w:p w:rsidR="00843755" w:rsidRDefault="00843755" w:rsidP="00843755">
      <w:pPr>
        <w:jc w:val="both"/>
        <w:rPr>
          <w:rFonts w:ascii="GE Inspira" w:eastAsia="Times" w:hAnsi="GE Inspira"/>
          <w:b/>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90 tabeli opisu skanera PET/CT</w:t>
      </w:r>
    </w:p>
    <w:p w:rsidR="00843755" w:rsidRDefault="00843755" w:rsidP="00843755">
      <w:pPr>
        <w:jc w:val="both"/>
      </w:pPr>
      <w:r>
        <w:t>Ponieważ pkt 90 jest powtórzeniem pkt 89 wnosimy o całkowite wykreślenie tego parametru jak poniżej.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4064"/>
        <w:gridCol w:w="1277"/>
        <w:gridCol w:w="1435"/>
        <w:gridCol w:w="2700"/>
      </w:tblGrid>
      <w:tr w:rsidR="00843755" w:rsidTr="00843755">
        <w:trPr>
          <w:trHeight w:val="1020"/>
        </w:trPr>
        <w:tc>
          <w:tcPr>
            <w:tcW w:w="96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lang w:val="en-US"/>
              </w:rPr>
            </w:pPr>
            <w:r>
              <w:rPr>
                <w:rFonts w:eastAsia="Calibri" w:cs="Arial"/>
              </w:rPr>
              <w:t>90</w:t>
            </w:r>
          </w:p>
        </w:tc>
        <w:tc>
          <w:tcPr>
            <w:tcW w:w="598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eastAsia="Calibri" w:cs="Arial"/>
                <w:strike/>
              </w:rPr>
            </w:pPr>
            <w:r>
              <w:rPr>
                <w:rFonts w:eastAsia="Calibri" w:cs="Arial"/>
                <w:strike/>
              </w:rPr>
              <w:t>Zaoferowanie nowego serwera aplikacyjnego spełniającego poniższe wymagania, umożliwiającego dostęp dla min. 12 użytkowników lub dołączenie się do serwera dostarczanego z innym aparatem</w:t>
            </w:r>
          </w:p>
          <w:p w:rsidR="00843755" w:rsidRDefault="00843755">
            <w:pPr>
              <w:rPr>
                <w:rFonts w:eastAsia="Calibri" w:cs="Arial"/>
                <w:iCs/>
                <w:u w:val="single"/>
              </w:rPr>
            </w:pPr>
            <w:r>
              <w:rPr>
                <w:rFonts w:eastAsia="Calibri" w:cs="Arial"/>
                <w:iCs/>
                <w:u w:val="single"/>
              </w:rPr>
              <w:t>Wiersz wykreślony</w:t>
            </w:r>
          </w:p>
        </w:tc>
        <w:tc>
          <w:tcPr>
            <w:tcW w:w="170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strike/>
                <w:lang w:val="en-US"/>
              </w:rPr>
            </w:pPr>
            <w:r>
              <w:rPr>
                <w:rFonts w:eastAsia="Calibri" w:cs="Arial"/>
                <w:strike/>
              </w:rPr>
              <w:t>TAK, podać</w:t>
            </w:r>
          </w:p>
        </w:tc>
        <w:tc>
          <w:tcPr>
            <w:tcW w:w="244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strike/>
              </w:rPr>
            </w:pPr>
            <w:r>
              <w:rPr>
                <w:rFonts w:eastAsia="Calibri" w:cs="Arial"/>
                <w:strike/>
              </w:rPr>
              <w:t> </w:t>
            </w:r>
          </w:p>
        </w:tc>
        <w:tc>
          <w:tcPr>
            <w:tcW w:w="4080" w:type="dxa"/>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strike/>
              </w:rPr>
            </w:pPr>
            <w:r>
              <w:rPr>
                <w:rFonts w:eastAsia="Calibri" w:cs="Arial"/>
                <w:strike/>
              </w:rPr>
              <w:t>bez punktacji</w:t>
            </w:r>
          </w:p>
        </w:tc>
      </w:tr>
    </w:tbl>
    <w:p w:rsidR="00843755" w:rsidRDefault="00843755" w:rsidP="00843755">
      <w:pPr>
        <w:jc w:val="both"/>
      </w:pPr>
    </w:p>
    <w:p w:rsidR="00843755" w:rsidRDefault="00843755" w:rsidP="00843755">
      <w:pPr>
        <w:numPr>
          <w:ilvl w:val="0"/>
          <w:numId w:val="12"/>
        </w:numPr>
        <w:suppressAutoHyphens w:val="0"/>
        <w:spacing w:line="280" w:lineRule="exact"/>
        <w:jc w:val="both"/>
        <w:rPr>
          <w:b/>
        </w:rPr>
      </w:pPr>
      <w:r>
        <w:rPr>
          <w:b/>
        </w:rPr>
        <w:t>Dotyczy załącznika nr 1 do SIWZ, w części PET/CT, pkt 204 tabeli opisu skanera PET/CT</w:t>
      </w:r>
    </w:p>
    <w:p w:rsidR="00843755" w:rsidRDefault="00843755" w:rsidP="00843755">
      <w:pPr>
        <w:jc w:val="both"/>
      </w:pPr>
      <w:proofErr w:type="spellStart"/>
      <w:r>
        <w:t>Zamawiajacy</w:t>
      </w:r>
      <w:proofErr w:type="spellEnd"/>
      <w:r>
        <w:t xml:space="preserve"> przyznaje 60 punktów za większy od 70 cm otwór </w:t>
      </w:r>
      <w:proofErr w:type="spellStart"/>
      <w:r>
        <w:t>gantry</w:t>
      </w:r>
      <w:proofErr w:type="spellEnd"/>
      <w:r>
        <w:t xml:space="preserve">. Po pierwsze jest to wskazanie na jednego producenta, ponieważ </w:t>
      </w:r>
      <w:proofErr w:type="spellStart"/>
      <w:r>
        <w:t>kaóżdy</w:t>
      </w:r>
      <w:proofErr w:type="spellEnd"/>
      <w:r>
        <w:t xml:space="preserve"> inny </w:t>
      </w:r>
      <w:proofErr w:type="spellStart"/>
      <w:r>
        <w:t>dostepny</w:t>
      </w:r>
      <w:proofErr w:type="spellEnd"/>
      <w:r>
        <w:t xml:space="preserve"> skaner PET otrzyma 0 punktów. Po drugie, taka </w:t>
      </w:r>
      <w:r>
        <w:lastRenderedPageBreak/>
        <w:t>punktacja przyznaje bez mała 30% wszystkich możliwych do zdobycia punktów (220 punktów) za jeden parametr. 60 punktów to trzykrotnie więcej niż za czułość detektora (20 punktów), która bez wątpienia jest najistotniejszym parametrem detektora PET. Dlatego wnosimy o obniżenie oceny do 10 punktów jak poniżej co pozwoli nam na złożenie konkurencyjnej oferty.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534"/>
        <w:gridCol w:w="1276"/>
        <w:gridCol w:w="909"/>
        <w:gridCol w:w="2629"/>
      </w:tblGrid>
      <w:tr w:rsidR="00843755" w:rsidTr="00843755">
        <w:trPr>
          <w:trHeight w:val="300"/>
        </w:trPr>
        <w:tc>
          <w:tcPr>
            <w:tcW w:w="714" w:type="dxa"/>
            <w:vMerge w:val="restart"/>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lang w:val="en-US"/>
              </w:rPr>
            </w:pPr>
            <w:r>
              <w:rPr>
                <w:rFonts w:eastAsia="Calibri" w:cs="Arial"/>
              </w:rPr>
              <w:t>204</w:t>
            </w:r>
          </w:p>
        </w:tc>
        <w:tc>
          <w:tcPr>
            <w:tcW w:w="3534" w:type="dxa"/>
            <w:vMerge w:val="restart"/>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 xml:space="preserve">Średnica otworu </w:t>
            </w:r>
            <w:proofErr w:type="spellStart"/>
            <w:r>
              <w:rPr>
                <w:rFonts w:eastAsia="Calibri" w:cs="Arial"/>
              </w:rPr>
              <w:t>gantry</w:t>
            </w:r>
            <w:proofErr w:type="spellEnd"/>
            <w:r>
              <w:rPr>
                <w:rFonts w:eastAsia="Calibri" w:cs="Arial"/>
              </w:rPr>
              <w:t xml:space="preserve"> </w:t>
            </w:r>
            <w:r>
              <w:rPr>
                <w:rFonts w:eastAsia="Calibri" w:cs="Arial"/>
                <w:i/>
                <w:iCs/>
              </w:rPr>
              <w:t>(</w:t>
            </w:r>
            <w:proofErr w:type="spellStart"/>
            <w:r>
              <w:rPr>
                <w:rFonts w:eastAsia="Calibri" w:cs="Arial"/>
                <w:i/>
                <w:iCs/>
              </w:rPr>
              <w:t>aperture</w:t>
            </w:r>
            <w:proofErr w:type="spellEnd"/>
            <w:r>
              <w:rPr>
                <w:rFonts w:eastAsia="Calibri" w:cs="Arial"/>
                <w:i/>
                <w:iCs/>
              </w:rPr>
              <w:t>)</w:t>
            </w:r>
            <w:r>
              <w:rPr>
                <w:rFonts w:eastAsia="Calibri" w:cs="Arial"/>
              </w:rPr>
              <w:t xml:space="preserve">     ≥ 70 cm,</w:t>
            </w:r>
          </w:p>
        </w:tc>
        <w:tc>
          <w:tcPr>
            <w:tcW w:w="1276" w:type="dxa"/>
            <w:tcBorders>
              <w:top w:val="single" w:sz="4" w:space="0" w:color="auto"/>
              <w:left w:val="single" w:sz="4" w:space="0" w:color="auto"/>
              <w:bottom w:val="nil"/>
              <w:right w:val="single" w:sz="4" w:space="0" w:color="auto"/>
            </w:tcBorders>
            <w:vAlign w:val="center"/>
            <w:hideMark/>
          </w:tcPr>
          <w:p w:rsidR="00843755" w:rsidRDefault="00843755">
            <w:pPr>
              <w:jc w:val="both"/>
              <w:rPr>
                <w:rFonts w:eastAsia="Calibri" w:cs="Arial"/>
                <w:i/>
                <w:iCs/>
              </w:rPr>
            </w:pPr>
            <w:r>
              <w:rPr>
                <w:rFonts w:eastAsia="Calibri" w:cs="Arial"/>
                <w:i/>
                <w:iCs/>
              </w:rPr>
              <w:t> </w:t>
            </w: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 </w:t>
            </w:r>
          </w:p>
        </w:tc>
        <w:tc>
          <w:tcPr>
            <w:tcW w:w="2629" w:type="dxa"/>
            <w:tcBorders>
              <w:top w:val="single" w:sz="4" w:space="0" w:color="auto"/>
              <w:left w:val="single" w:sz="4" w:space="0" w:color="auto"/>
              <w:bottom w:val="nil"/>
              <w:right w:val="single" w:sz="4" w:space="0" w:color="auto"/>
            </w:tcBorders>
            <w:vAlign w:val="center"/>
            <w:hideMark/>
          </w:tcPr>
          <w:p w:rsidR="00843755" w:rsidRDefault="00843755">
            <w:pPr>
              <w:jc w:val="both"/>
              <w:rPr>
                <w:rFonts w:eastAsia="Calibri" w:cs="Arial"/>
                <w:i/>
                <w:iCs/>
                <w:lang w:val="en-US"/>
              </w:rPr>
            </w:pPr>
            <w:r>
              <w:rPr>
                <w:rFonts w:eastAsia="Calibri" w:cs="Arial"/>
                <w:i/>
                <w:iCs/>
              </w:rPr>
              <w:t>70 cm = 0 pkt,</w:t>
            </w:r>
          </w:p>
        </w:tc>
      </w:tr>
      <w:tr w:rsidR="00843755" w:rsidTr="00843755">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eastAsia="en-US"/>
              </w:rPr>
            </w:pPr>
          </w:p>
        </w:tc>
        <w:tc>
          <w:tcPr>
            <w:tcW w:w="1276" w:type="dxa"/>
            <w:tcBorders>
              <w:top w:val="nil"/>
              <w:left w:val="single" w:sz="4" w:space="0" w:color="auto"/>
              <w:bottom w:val="nil"/>
              <w:right w:val="single" w:sz="4" w:space="0" w:color="auto"/>
            </w:tcBorders>
            <w:hideMark/>
          </w:tcPr>
          <w:p w:rsidR="00843755" w:rsidRDefault="00843755">
            <w:pPr>
              <w:rPr>
                <w:rFonts w:eastAsia="Calibri" w:cs="Arial"/>
                <w:i/>
                <w:iCs/>
              </w:rPr>
            </w:pPr>
            <w:r>
              <w:rPr>
                <w:rFonts w:eastAsia="Calibri" w:cs="Arial"/>
                <w:i/>
                <w:iCs/>
              </w:rPr>
              <w:t>≥ 70 cm, podać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eastAsia="en-US"/>
              </w:rPr>
            </w:pPr>
          </w:p>
        </w:tc>
        <w:tc>
          <w:tcPr>
            <w:tcW w:w="2629" w:type="dxa"/>
            <w:tcBorders>
              <w:top w:val="nil"/>
              <w:left w:val="single" w:sz="4" w:space="0" w:color="auto"/>
              <w:bottom w:val="nil"/>
              <w:right w:val="single" w:sz="4" w:space="0" w:color="auto"/>
            </w:tcBorders>
            <w:hideMark/>
          </w:tcPr>
          <w:p w:rsidR="00843755" w:rsidRDefault="00843755">
            <w:pPr>
              <w:jc w:val="both"/>
              <w:rPr>
                <w:rFonts w:eastAsia="Calibri" w:cs="Arial"/>
                <w:i/>
                <w:iCs/>
              </w:rPr>
            </w:pPr>
            <w:r>
              <w:rPr>
                <w:rFonts w:eastAsia="Calibri" w:cs="Arial"/>
                <w:i/>
                <w:iCs/>
              </w:rPr>
              <w:t>wartość maks. = 10 pkt,</w:t>
            </w:r>
          </w:p>
        </w:tc>
      </w:tr>
      <w:tr w:rsidR="00843755" w:rsidTr="0084375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eastAsia="en-US"/>
              </w:rPr>
            </w:pPr>
          </w:p>
        </w:tc>
        <w:tc>
          <w:tcPr>
            <w:tcW w:w="1276" w:type="dxa"/>
            <w:tcBorders>
              <w:top w:val="nil"/>
              <w:left w:val="single" w:sz="4" w:space="0" w:color="auto"/>
              <w:bottom w:val="single" w:sz="4" w:space="0" w:color="auto"/>
              <w:right w:val="single" w:sz="4" w:space="0" w:color="auto"/>
            </w:tcBorders>
            <w:hideMark/>
          </w:tcPr>
          <w:p w:rsidR="00843755" w:rsidRDefault="00843755">
            <w:pPr>
              <w:jc w:val="both"/>
              <w:rPr>
                <w:rFonts w:eastAsia="Calibri" w:cs="Arial"/>
                <w:b/>
                <w:i/>
                <w:iCs/>
              </w:rPr>
            </w:pPr>
            <w:r>
              <w:rPr>
                <w:rFonts w:eastAsia="Calibri" w:cs="Arial"/>
                <w:b/>
                <w:i/>
                <w:iC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eastAsia="en-US"/>
              </w:rPr>
            </w:pPr>
          </w:p>
        </w:tc>
        <w:tc>
          <w:tcPr>
            <w:tcW w:w="2629" w:type="dxa"/>
            <w:tcBorders>
              <w:top w:val="nil"/>
              <w:left w:val="single" w:sz="4" w:space="0" w:color="auto"/>
              <w:bottom w:val="single" w:sz="4" w:space="0" w:color="auto"/>
              <w:right w:val="single" w:sz="4" w:space="0" w:color="auto"/>
            </w:tcBorders>
            <w:hideMark/>
          </w:tcPr>
          <w:p w:rsidR="00843755" w:rsidRDefault="00843755">
            <w:pPr>
              <w:jc w:val="both"/>
              <w:rPr>
                <w:rFonts w:eastAsia="Calibri" w:cs="Arial"/>
                <w:i/>
                <w:iCs/>
              </w:rPr>
            </w:pPr>
            <w:r>
              <w:rPr>
                <w:rFonts w:eastAsia="Calibri" w:cs="Arial"/>
                <w:i/>
                <w:iCs/>
              </w:rPr>
              <w:t>inne proporcjonalnie</w:t>
            </w:r>
          </w:p>
        </w:tc>
      </w:tr>
    </w:tbl>
    <w:p w:rsidR="00843755" w:rsidRDefault="00843755" w:rsidP="00843755">
      <w:pPr>
        <w:jc w:val="both"/>
        <w:rPr>
          <w:rFonts w:ascii="GE Inspira" w:eastAsia="Times" w:hAnsi="GE Inspira"/>
          <w:b/>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208 tabeli opisu skanera PET/CT</w:t>
      </w:r>
    </w:p>
    <w:p w:rsidR="00843755" w:rsidRDefault="00843755" w:rsidP="00843755">
      <w:pPr>
        <w:jc w:val="both"/>
      </w:pPr>
      <w:r>
        <w:t>Metoda TOF (</w:t>
      </w:r>
      <w:proofErr w:type="spellStart"/>
      <w:r>
        <w:t>time</w:t>
      </w:r>
      <w:proofErr w:type="spellEnd"/>
      <w:r>
        <w:t>-of-</w:t>
      </w:r>
      <w:proofErr w:type="spellStart"/>
      <w:r>
        <w:t>flight</w:t>
      </w:r>
      <w:proofErr w:type="spellEnd"/>
      <w:r>
        <w:t xml:space="preserve">), która nie jest wymagana przez Zamawiającego, jest jedną z metod poprawienia stosunku sygnału do szumu. Ten sam efekt można uzyskać przez zwiększenie wydajności procesu scyntylacji i/lub przez zastosowanie nowych technik rekonstrukcji. Metoda TOF jest oceniana przez </w:t>
      </w:r>
      <w:proofErr w:type="spellStart"/>
      <w:r>
        <w:t>Zamawijącego</w:t>
      </w:r>
      <w:proofErr w:type="spellEnd"/>
      <w:r>
        <w:t xml:space="preserve"> w pkt 210 jako metoda zwiększająca rozdzielczość skanera.  Obiektywną metodą porównania czułości detektora, jednego z krytycznych parametrów detektora, jest zastosowanie standardu NEMA bez żadnych modyfikacji. Standard NEMA jest zaakceptowany i stosowany przez wszystkich producentów </w:t>
      </w:r>
      <w:proofErr w:type="spellStart"/>
      <w:r>
        <w:t>sprzetu</w:t>
      </w:r>
      <w:proofErr w:type="spellEnd"/>
      <w:r>
        <w:t xml:space="preserve"> medycznego na świecie, i pomiary według norm NEMA są podstawą specjalistycznych testów akceptacyjnych </w:t>
      </w:r>
      <w:proofErr w:type="spellStart"/>
      <w:r>
        <w:t>potwierdzającyh</w:t>
      </w:r>
      <w:proofErr w:type="spellEnd"/>
      <w:r>
        <w:t xml:space="preserve"> spełnienie wymaganych parametrów.  </w:t>
      </w:r>
    </w:p>
    <w:p w:rsidR="00843755" w:rsidRDefault="00843755" w:rsidP="00843755">
      <w:pPr>
        <w:jc w:val="both"/>
      </w:pPr>
      <w:r>
        <w:t xml:space="preserve">Producenci skanerów PET/CT zawsze specyfikują w danych produktowych parametry według standardu NEMA. Jako przykład załączamy fragment danych technicznych aparatu </w:t>
      </w:r>
      <w:proofErr w:type="spellStart"/>
      <w:r>
        <w:t>Bioghraph</w:t>
      </w:r>
      <w:proofErr w:type="spellEnd"/>
      <w:r>
        <w:t xml:space="preserve"> </w:t>
      </w:r>
      <w:proofErr w:type="spellStart"/>
      <w:r>
        <w:t>mCT</w:t>
      </w:r>
      <w:proofErr w:type="spellEnd"/>
      <w:r>
        <w:t xml:space="preserve"> firmy Siemens (czułość 10,2 </w:t>
      </w:r>
      <w:proofErr w:type="spellStart"/>
      <w:r>
        <w:t>cps</w:t>
      </w:r>
      <w:proofErr w:type="spellEnd"/>
      <w:r>
        <w:t>/</w:t>
      </w:r>
      <w:proofErr w:type="spellStart"/>
      <w:r>
        <w:t>kGq</w:t>
      </w:r>
      <w:proofErr w:type="spellEnd"/>
      <w:r>
        <w:t>):</w:t>
      </w:r>
    </w:p>
    <w:p w:rsidR="00843755" w:rsidRDefault="00843755" w:rsidP="00843755">
      <w:pPr>
        <w:jc w:val="both"/>
      </w:pPr>
      <w:r>
        <w:rPr>
          <w:noProof/>
          <w:lang w:val="en-US"/>
        </w:rPr>
        <w:drawing>
          <wp:anchor distT="0" distB="0" distL="114300" distR="114300" simplePos="0" relativeHeight="251658752" behindDoc="0" locked="0" layoutInCell="1" allowOverlap="1">
            <wp:simplePos x="0" y="0"/>
            <wp:positionH relativeFrom="column">
              <wp:posOffset>-151130</wp:posOffset>
            </wp:positionH>
            <wp:positionV relativeFrom="paragraph">
              <wp:posOffset>154305</wp:posOffset>
            </wp:positionV>
            <wp:extent cx="5772150" cy="542925"/>
            <wp:effectExtent l="0" t="0" r="0" b="952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50" cy="542925"/>
                    </a:xfrm>
                    <a:prstGeom prst="rect">
                      <a:avLst/>
                    </a:prstGeom>
                    <a:noFill/>
                  </pic:spPr>
                </pic:pic>
              </a:graphicData>
            </a:graphic>
            <wp14:sizeRelH relativeFrom="page">
              <wp14:pctWidth>0</wp14:pctWidth>
            </wp14:sizeRelH>
            <wp14:sizeRelV relativeFrom="page">
              <wp14:pctHeight>0</wp14:pctHeight>
            </wp14:sizeRelV>
          </wp:anchor>
        </w:drawing>
      </w:r>
    </w:p>
    <w:p w:rsidR="00843755" w:rsidRDefault="00843755" w:rsidP="00843755">
      <w:pPr>
        <w:jc w:val="both"/>
      </w:pPr>
    </w:p>
    <w:p w:rsidR="00843755" w:rsidRDefault="00843755" w:rsidP="00843755">
      <w:pPr>
        <w:jc w:val="both"/>
      </w:pPr>
    </w:p>
    <w:p w:rsidR="00843755" w:rsidRDefault="00843755" w:rsidP="00843755">
      <w:pPr>
        <w:jc w:val="both"/>
      </w:pPr>
    </w:p>
    <w:p w:rsidR="00843755" w:rsidRDefault="00843755" w:rsidP="00843755">
      <w:pPr>
        <w:jc w:val="both"/>
      </w:pPr>
    </w:p>
    <w:p w:rsidR="00843755" w:rsidRDefault="00843755" w:rsidP="00843755">
      <w:pPr>
        <w:jc w:val="both"/>
      </w:pPr>
      <w:r>
        <w:t>Dlatego zasadnym jest specyfikowanie wymagań według standardu NEMA. Dlatego wnosimy o poniższy zapis, który pozwoli nam na złożenie ważnej oferty.</w:t>
      </w:r>
    </w:p>
    <w:p w:rsidR="00843755" w:rsidRDefault="00843755" w:rsidP="0084375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296"/>
        <w:gridCol w:w="1514"/>
        <w:gridCol w:w="936"/>
        <w:gridCol w:w="2602"/>
      </w:tblGrid>
      <w:tr w:rsidR="00843755" w:rsidTr="00843755">
        <w:trPr>
          <w:trHeight w:val="510"/>
        </w:trPr>
        <w:tc>
          <w:tcPr>
            <w:tcW w:w="714" w:type="dxa"/>
            <w:vMerge w:val="restart"/>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lang w:val="en-US"/>
              </w:rPr>
            </w:pPr>
            <w:r>
              <w:rPr>
                <w:rFonts w:eastAsia="Calibri" w:cs="Arial"/>
              </w:rPr>
              <w:t>208</w:t>
            </w:r>
          </w:p>
        </w:tc>
        <w:tc>
          <w:tcPr>
            <w:tcW w:w="3296" w:type="dxa"/>
            <w:vMerge w:val="restart"/>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 xml:space="preserve">Czułość w trybie akwizycji 3D Czułość w trybie akwizycji 3D wg NEMA </w:t>
            </w:r>
            <w:proofErr w:type="spellStart"/>
            <w:r>
              <w:rPr>
                <w:rFonts w:eastAsia="Calibri" w:cs="Arial"/>
              </w:rPr>
              <w:t>Standards</w:t>
            </w:r>
            <w:proofErr w:type="spellEnd"/>
            <w:r>
              <w:rPr>
                <w:rFonts w:eastAsia="Calibri" w:cs="Arial"/>
              </w:rPr>
              <w:t xml:space="preserve"> </w:t>
            </w:r>
            <w:proofErr w:type="spellStart"/>
            <w:r>
              <w:rPr>
                <w:rFonts w:eastAsia="Calibri" w:cs="Arial"/>
              </w:rPr>
              <w:t>Publication</w:t>
            </w:r>
            <w:proofErr w:type="spellEnd"/>
            <w:r>
              <w:rPr>
                <w:rFonts w:eastAsia="Calibri" w:cs="Arial"/>
              </w:rPr>
              <w:t xml:space="preserve"> NU2-2012 </w:t>
            </w:r>
            <w:r>
              <w:rPr>
                <w:rFonts w:eastAsia="Calibri" w:cs="Arial"/>
                <w:b/>
                <w:bCs/>
              </w:rPr>
              <w:t xml:space="preserve">≥ 10 </w:t>
            </w:r>
            <w:proofErr w:type="spellStart"/>
            <w:r>
              <w:rPr>
                <w:rFonts w:eastAsia="Calibri" w:cs="Arial"/>
                <w:b/>
                <w:bCs/>
              </w:rPr>
              <w:t>cps</w:t>
            </w:r>
            <w:proofErr w:type="spellEnd"/>
            <w:r>
              <w:rPr>
                <w:rFonts w:eastAsia="Calibri" w:cs="Arial"/>
                <w:b/>
                <w:bCs/>
              </w:rPr>
              <w:t>/</w:t>
            </w:r>
            <w:proofErr w:type="spellStart"/>
            <w:r>
              <w:rPr>
                <w:rFonts w:eastAsia="Calibri" w:cs="Arial"/>
                <w:b/>
                <w:bCs/>
              </w:rPr>
              <w:t>kBq</w:t>
            </w:r>
            <w:proofErr w:type="spellEnd"/>
          </w:p>
        </w:tc>
        <w:tc>
          <w:tcPr>
            <w:tcW w:w="1514" w:type="dxa"/>
            <w:tcBorders>
              <w:top w:val="single" w:sz="4" w:space="0" w:color="auto"/>
              <w:left w:val="single" w:sz="4" w:space="0" w:color="auto"/>
              <w:bottom w:val="nil"/>
              <w:right w:val="single" w:sz="4" w:space="0" w:color="auto"/>
            </w:tcBorders>
            <w:vAlign w:val="center"/>
            <w:hideMark/>
          </w:tcPr>
          <w:p w:rsidR="00843755" w:rsidRDefault="00843755">
            <w:pPr>
              <w:jc w:val="both"/>
              <w:rPr>
                <w:rFonts w:eastAsia="Calibri" w:cs="Arial"/>
                <w:i/>
                <w:iCs/>
                <w:lang w:val="en-US"/>
              </w:rPr>
            </w:pPr>
            <w:r>
              <w:rPr>
                <w:rFonts w:eastAsia="Calibri" w:cs="Arial"/>
                <w:i/>
                <w:iCs/>
              </w:rPr>
              <w:t>podać wartość [</w:t>
            </w:r>
            <w:proofErr w:type="spellStart"/>
            <w:r>
              <w:rPr>
                <w:rFonts w:eastAsia="Calibri" w:cs="Arial"/>
                <w:i/>
                <w:iCs/>
              </w:rPr>
              <w:t>cps</w:t>
            </w:r>
            <w:proofErr w:type="spellEnd"/>
            <w:r>
              <w:rPr>
                <w:rFonts w:eastAsia="Calibri" w:cs="Arial"/>
                <w:i/>
                <w:iCs/>
              </w:rPr>
              <w:t>/</w:t>
            </w:r>
            <w:proofErr w:type="spellStart"/>
            <w:r>
              <w:rPr>
                <w:rFonts w:eastAsia="Calibri" w:cs="Arial"/>
                <w:i/>
                <w:iCs/>
              </w:rPr>
              <w:t>kBq</w:t>
            </w:r>
            <w:proofErr w:type="spellEnd"/>
            <w:r>
              <w:rPr>
                <w:rFonts w:eastAsia="Calibri" w:cs="Arial"/>
                <w:i/>
                <w:iCs/>
              </w:rPr>
              <w:t>]</w:t>
            </w:r>
          </w:p>
        </w:tc>
        <w:tc>
          <w:tcPr>
            <w:tcW w:w="936" w:type="dxa"/>
            <w:vMerge w:val="restart"/>
            <w:tcBorders>
              <w:top w:val="single" w:sz="4" w:space="0" w:color="auto"/>
              <w:left w:val="single" w:sz="4" w:space="0" w:color="auto"/>
              <w:bottom w:val="single" w:sz="4" w:space="0" w:color="auto"/>
              <w:right w:val="single" w:sz="4" w:space="0" w:color="auto"/>
            </w:tcBorders>
            <w:vAlign w:val="center"/>
            <w:hideMark/>
          </w:tcPr>
          <w:p w:rsidR="00843755" w:rsidRDefault="00843755">
            <w:pPr>
              <w:jc w:val="both"/>
              <w:rPr>
                <w:rFonts w:eastAsia="Calibri" w:cs="Arial"/>
              </w:rPr>
            </w:pPr>
            <w:r>
              <w:rPr>
                <w:rFonts w:eastAsia="Calibri" w:cs="Arial"/>
              </w:rPr>
              <w:t> </w:t>
            </w:r>
          </w:p>
        </w:tc>
        <w:tc>
          <w:tcPr>
            <w:tcW w:w="2602" w:type="dxa"/>
            <w:tcBorders>
              <w:top w:val="single" w:sz="4" w:space="0" w:color="auto"/>
              <w:left w:val="single" w:sz="4" w:space="0" w:color="auto"/>
              <w:bottom w:val="nil"/>
              <w:right w:val="single" w:sz="4" w:space="0" w:color="auto"/>
            </w:tcBorders>
            <w:vAlign w:val="center"/>
            <w:hideMark/>
          </w:tcPr>
          <w:p w:rsidR="00843755" w:rsidRDefault="00843755">
            <w:pPr>
              <w:jc w:val="both"/>
              <w:rPr>
                <w:rFonts w:eastAsia="Calibri" w:cs="Arial"/>
                <w:i/>
                <w:iCs/>
              </w:rPr>
            </w:pPr>
            <w:r>
              <w:rPr>
                <w:rFonts w:eastAsia="Calibri" w:cs="Arial"/>
                <w:i/>
                <w:iCs/>
              </w:rPr>
              <w:t>podać wartość [</w:t>
            </w:r>
            <w:proofErr w:type="spellStart"/>
            <w:r>
              <w:rPr>
                <w:rFonts w:eastAsia="Calibri" w:cs="Arial"/>
                <w:i/>
                <w:iCs/>
              </w:rPr>
              <w:t>cps</w:t>
            </w:r>
            <w:proofErr w:type="spellEnd"/>
            <w:r>
              <w:rPr>
                <w:rFonts w:eastAsia="Calibri" w:cs="Arial"/>
                <w:i/>
                <w:iCs/>
              </w:rPr>
              <w:t>/</w:t>
            </w:r>
            <w:proofErr w:type="spellStart"/>
            <w:r>
              <w:rPr>
                <w:rFonts w:eastAsia="Calibri" w:cs="Arial"/>
                <w:i/>
                <w:iCs/>
              </w:rPr>
              <w:t>kBq</w:t>
            </w:r>
            <w:proofErr w:type="spellEnd"/>
            <w:r>
              <w:rPr>
                <w:rFonts w:eastAsia="Calibri" w:cs="Arial"/>
                <w:i/>
                <w:iCs/>
              </w:rPr>
              <w:t>]</w:t>
            </w:r>
          </w:p>
        </w:tc>
      </w:tr>
      <w:tr w:rsidR="00843755" w:rsidTr="0084375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eastAsia="en-US"/>
              </w:rPr>
            </w:pPr>
          </w:p>
        </w:tc>
        <w:tc>
          <w:tcPr>
            <w:tcW w:w="1514" w:type="dxa"/>
            <w:tcBorders>
              <w:top w:val="nil"/>
              <w:left w:val="single" w:sz="4" w:space="0" w:color="auto"/>
              <w:bottom w:val="nil"/>
              <w:right w:val="single" w:sz="4" w:space="0" w:color="auto"/>
            </w:tcBorders>
            <w:hideMark/>
          </w:tcPr>
          <w:p w:rsidR="00843755" w:rsidRDefault="00843755">
            <w:pPr>
              <w:jc w:val="both"/>
              <w:rPr>
                <w:rFonts w:eastAsia="Calibri" w:cs="Arial"/>
                <w:i/>
                <w:iCs/>
              </w:rPr>
            </w:pPr>
            <w:r>
              <w:rPr>
                <w:rFonts w:eastAsia="Calibri" w:cs="Arial"/>
                <w:i/>
                <w:iCs/>
              </w:rPr>
              <w:t xml:space="preserve"> ≥ 10 </w:t>
            </w:r>
            <w:proofErr w:type="spellStart"/>
            <w:r>
              <w:rPr>
                <w:rFonts w:eastAsia="Calibri" w:cs="Arial"/>
                <w:i/>
                <w:iCs/>
              </w:rPr>
              <w:t>cps</w:t>
            </w:r>
            <w:proofErr w:type="spellEnd"/>
            <w:r>
              <w:rPr>
                <w:rFonts w:eastAsia="Calibri" w:cs="Arial"/>
                <w:i/>
                <w:iCs/>
              </w:rPr>
              <w:t>/</w:t>
            </w:r>
            <w:proofErr w:type="spellStart"/>
            <w:r>
              <w:rPr>
                <w:rFonts w:eastAsia="Calibri" w:cs="Arial"/>
                <w:i/>
                <w:iCs/>
              </w:rPr>
              <w:t>kBq</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val="en-US" w:eastAsia="en-US"/>
              </w:rPr>
            </w:pPr>
          </w:p>
        </w:tc>
        <w:tc>
          <w:tcPr>
            <w:tcW w:w="2602" w:type="dxa"/>
            <w:tcBorders>
              <w:top w:val="nil"/>
              <w:left w:val="single" w:sz="4" w:space="0" w:color="auto"/>
              <w:bottom w:val="nil"/>
              <w:right w:val="single" w:sz="4" w:space="0" w:color="auto"/>
            </w:tcBorders>
            <w:hideMark/>
          </w:tcPr>
          <w:p w:rsidR="00843755" w:rsidRDefault="00843755">
            <w:pPr>
              <w:jc w:val="both"/>
              <w:rPr>
                <w:rFonts w:eastAsia="Calibri" w:cs="Arial"/>
                <w:i/>
                <w:iCs/>
              </w:rPr>
            </w:pPr>
            <w:r>
              <w:rPr>
                <w:rFonts w:eastAsia="Calibri" w:cs="Arial"/>
                <w:i/>
                <w:iCs/>
              </w:rPr>
              <w:t>wartość graniczna = 0pkt.,</w:t>
            </w:r>
          </w:p>
        </w:tc>
      </w:tr>
      <w:tr w:rsidR="00843755" w:rsidTr="0084375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eastAsia="en-US"/>
              </w:rPr>
            </w:pPr>
          </w:p>
        </w:tc>
        <w:tc>
          <w:tcPr>
            <w:tcW w:w="1514" w:type="dxa"/>
            <w:tcBorders>
              <w:top w:val="nil"/>
              <w:left w:val="single" w:sz="4" w:space="0" w:color="auto"/>
              <w:bottom w:val="nil"/>
              <w:right w:val="single" w:sz="4" w:space="0" w:color="auto"/>
            </w:tcBorders>
            <w:hideMark/>
          </w:tcPr>
          <w:p w:rsidR="00843755" w:rsidRDefault="00843755">
            <w:pPr>
              <w:jc w:val="both"/>
              <w:rPr>
                <w:rFonts w:eastAsia="Calibri" w:cs="Arial"/>
                <w:i/>
                <w:iCs/>
              </w:rPr>
            </w:pPr>
            <w:r>
              <w:rPr>
                <w:rFonts w:eastAsia="Calibri" w:cs="Arial"/>
                <w:i/>
                <w:iC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val="en-US" w:eastAsia="en-US"/>
              </w:rPr>
            </w:pPr>
          </w:p>
        </w:tc>
        <w:tc>
          <w:tcPr>
            <w:tcW w:w="2602" w:type="dxa"/>
            <w:tcBorders>
              <w:top w:val="nil"/>
              <w:left w:val="single" w:sz="4" w:space="0" w:color="auto"/>
              <w:bottom w:val="nil"/>
              <w:right w:val="single" w:sz="4" w:space="0" w:color="auto"/>
            </w:tcBorders>
            <w:hideMark/>
          </w:tcPr>
          <w:p w:rsidR="00843755" w:rsidRDefault="00843755">
            <w:pPr>
              <w:jc w:val="both"/>
              <w:rPr>
                <w:rFonts w:eastAsia="Calibri" w:cs="Arial"/>
                <w:i/>
                <w:iCs/>
              </w:rPr>
            </w:pPr>
            <w:r>
              <w:rPr>
                <w:rFonts w:eastAsia="Calibri" w:cs="Arial"/>
                <w:i/>
                <w:iCs/>
              </w:rPr>
              <w:t xml:space="preserve"> wartość maks. = 20 pkt.,</w:t>
            </w:r>
          </w:p>
        </w:tc>
      </w:tr>
      <w:tr w:rsidR="00843755" w:rsidTr="00843755">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eastAsia="en-US"/>
              </w:rPr>
            </w:pPr>
          </w:p>
        </w:tc>
        <w:tc>
          <w:tcPr>
            <w:tcW w:w="1514" w:type="dxa"/>
            <w:tcBorders>
              <w:top w:val="nil"/>
              <w:left w:val="single" w:sz="4" w:space="0" w:color="auto"/>
              <w:bottom w:val="single" w:sz="4" w:space="0" w:color="auto"/>
              <w:right w:val="single" w:sz="4" w:space="0" w:color="auto"/>
            </w:tcBorders>
            <w:hideMark/>
          </w:tcPr>
          <w:p w:rsidR="00843755" w:rsidRDefault="00843755">
            <w:pPr>
              <w:jc w:val="both"/>
              <w:rPr>
                <w:rFonts w:eastAsia="Calibri" w:cs="Arial"/>
                <w:i/>
                <w:iCs/>
              </w:rPr>
            </w:pPr>
            <w:r>
              <w:rPr>
                <w:rFonts w:eastAsia="Calibri" w:cs="Arial"/>
                <w:i/>
                <w:iC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val="en-US" w:eastAsia="en-US"/>
              </w:rPr>
            </w:pPr>
          </w:p>
        </w:tc>
        <w:tc>
          <w:tcPr>
            <w:tcW w:w="2602" w:type="dxa"/>
            <w:tcBorders>
              <w:top w:val="nil"/>
              <w:left w:val="single" w:sz="4" w:space="0" w:color="auto"/>
              <w:bottom w:val="single" w:sz="4" w:space="0" w:color="auto"/>
              <w:right w:val="single" w:sz="4" w:space="0" w:color="auto"/>
            </w:tcBorders>
            <w:hideMark/>
          </w:tcPr>
          <w:p w:rsidR="00843755" w:rsidRDefault="00843755">
            <w:pPr>
              <w:jc w:val="both"/>
              <w:rPr>
                <w:rFonts w:eastAsia="Calibri" w:cs="Arial"/>
                <w:i/>
                <w:iCs/>
              </w:rPr>
            </w:pPr>
            <w:r>
              <w:rPr>
                <w:rFonts w:eastAsia="Calibri" w:cs="Arial"/>
                <w:i/>
                <w:iCs/>
              </w:rPr>
              <w:t>inne proporcjonalnie</w:t>
            </w:r>
          </w:p>
        </w:tc>
      </w:tr>
    </w:tbl>
    <w:p w:rsidR="00843755" w:rsidRDefault="00843755" w:rsidP="00843755">
      <w:pPr>
        <w:jc w:val="both"/>
      </w:pPr>
    </w:p>
    <w:p w:rsidR="00843755" w:rsidRDefault="00843755" w:rsidP="00843755">
      <w:pPr>
        <w:numPr>
          <w:ilvl w:val="0"/>
          <w:numId w:val="12"/>
        </w:numPr>
        <w:suppressAutoHyphens w:val="0"/>
        <w:spacing w:line="280" w:lineRule="exact"/>
        <w:jc w:val="both"/>
        <w:rPr>
          <w:b/>
        </w:rPr>
      </w:pPr>
      <w:r>
        <w:rPr>
          <w:b/>
        </w:rPr>
        <w:t>Dotyczy załącznika nr 1 do SIWZ, w części PET/CT, pkt 8 tabeli opisu skanera PET/CT</w:t>
      </w:r>
    </w:p>
    <w:p w:rsidR="00843755" w:rsidRDefault="00843755" w:rsidP="00843755">
      <w:pPr>
        <w:jc w:val="both"/>
      </w:pPr>
      <w:r>
        <w:t>Ponieważ nie ma żadnych dowodów klinicznych na wyższość bramkowania oddechowego opartego na amplitudzie dlatego wnosimy o wykreślenie punktacji co pozwoli nam złożyć konkurencyjną ofertę.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41"/>
        <w:gridCol w:w="1486"/>
        <w:gridCol w:w="851"/>
        <w:gridCol w:w="1979"/>
      </w:tblGrid>
      <w:tr w:rsidR="00843755" w:rsidTr="00843755">
        <w:trPr>
          <w:trHeight w:val="2535"/>
        </w:trPr>
        <w:tc>
          <w:tcPr>
            <w:tcW w:w="705"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lang w:val="en-US"/>
              </w:rPr>
            </w:pPr>
            <w:r>
              <w:rPr>
                <w:rFonts w:eastAsia="Calibri" w:cs="Arial"/>
              </w:rPr>
              <w:t>8.</w:t>
            </w:r>
          </w:p>
        </w:tc>
        <w:tc>
          <w:tcPr>
            <w:tcW w:w="4041"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 xml:space="preserve">Możliwość wykonywania badań PET i CT bramkowanych oddechowo (tzw. </w:t>
            </w:r>
            <w:proofErr w:type="spellStart"/>
            <w:r>
              <w:rPr>
                <w:rFonts w:eastAsia="Calibri" w:cs="Arial"/>
              </w:rPr>
              <w:t>phase-based</w:t>
            </w:r>
            <w:proofErr w:type="spellEnd"/>
            <w:r>
              <w:rPr>
                <w:rFonts w:eastAsia="Calibri" w:cs="Arial"/>
              </w:rPr>
              <w:t xml:space="preserve"> respiratory </w:t>
            </w:r>
            <w:proofErr w:type="spellStart"/>
            <w:r>
              <w:rPr>
                <w:rFonts w:eastAsia="Calibri" w:cs="Arial"/>
              </w:rPr>
              <w:t>gating</w:t>
            </w:r>
            <w:proofErr w:type="spellEnd"/>
            <w:r>
              <w:rPr>
                <w:rFonts w:eastAsia="Calibri" w:cs="Arial"/>
              </w:rPr>
              <w:t>). Protokoły bramkowania oddechowego są zintegrowane w ciągu skanu akwizycyjnego, nie wymagając ponownego skanowania obszaru czy repozycjonowania pacjenta. Podać nazwę licencji/oprogramowania.</w:t>
            </w:r>
          </w:p>
        </w:tc>
        <w:tc>
          <w:tcPr>
            <w:tcW w:w="1486"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TAK</w:t>
            </w:r>
          </w:p>
        </w:tc>
        <w:tc>
          <w:tcPr>
            <w:tcW w:w="851"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 </w:t>
            </w:r>
          </w:p>
        </w:tc>
        <w:tc>
          <w:tcPr>
            <w:tcW w:w="1979"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 xml:space="preserve">Bez punktacji </w:t>
            </w:r>
          </w:p>
        </w:tc>
      </w:tr>
    </w:tbl>
    <w:p w:rsidR="00843755" w:rsidRDefault="00843755" w:rsidP="00843755">
      <w:pPr>
        <w:jc w:val="both"/>
      </w:pPr>
    </w:p>
    <w:p w:rsidR="00843755" w:rsidRDefault="00843755" w:rsidP="00843755">
      <w:pPr>
        <w:numPr>
          <w:ilvl w:val="0"/>
          <w:numId w:val="12"/>
        </w:numPr>
        <w:suppressAutoHyphens w:val="0"/>
        <w:spacing w:line="280" w:lineRule="exact"/>
        <w:jc w:val="both"/>
        <w:rPr>
          <w:b/>
        </w:rPr>
      </w:pPr>
      <w:r>
        <w:rPr>
          <w:b/>
        </w:rPr>
        <w:t>Dotyczy załącznika nr 1 do SIWZ, w części PET/CT, pkt 61 tabeli opisu skanera PET/CT</w:t>
      </w:r>
    </w:p>
    <w:p w:rsidR="00843755" w:rsidRDefault="00843755" w:rsidP="00843755">
      <w:pPr>
        <w:jc w:val="both"/>
      </w:pPr>
      <w:r>
        <w:t>Wnosimy o obniżenie punktacji w wierszu 61, która wydaje się być bezzasadnie wysoka, co pozwoli nam złożyć konkurencyjną ofertę.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4029"/>
        <w:gridCol w:w="1470"/>
        <w:gridCol w:w="851"/>
        <w:gridCol w:w="1979"/>
      </w:tblGrid>
      <w:tr w:rsidR="00843755" w:rsidTr="00843755">
        <w:trPr>
          <w:trHeight w:val="2295"/>
        </w:trPr>
        <w:tc>
          <w:tcPr>
            <w:tcW w:w="733"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lang w:val="en-US"/>
              </w:rPr>
            </w:pPr>
            <w:r>
              <w:rPr>
                <w:rFonts w:eastAsia="Calibri" w:cs="Arial"/>
              </w:rPr>
              <w:t>61</w:t>
            </w:r>
          </w:p>
        </w:tc>
        <w:tc>
          <w:tcPr>
            <w:tcW w:w="4029"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 xml:space="preserve">Technologia podwójnego próbkowania podczas zbierania danych TK w trzecim wymiarze „z”, w celu zgromadzenia podwójnej ilości danych bez zwiększenia dawki dla pacjenta. Podwójny zbiór informacji ma pozwolić na wysokorozdzielcze obrazowanie wymagane przy skanach z zakresu </w:t>
            </w:r>
            <w:proofErr w:type="spellStart"/>
            <w:r>
              <w:rPr>
                <w:rFonts w:eastAsia="Calibri" w:cs="Arial"/>
              </w:rPr>
              <w:t>głowa-szyja</w:t>
            </w:r>
            <w:proofErr w:type="spellEnd"/>
            <w:r>
              <w:rPr>
                <w:rFonts w:eastAsia="Calibri" w:cs="Arial"/>
              </w:rPr>
              <w:t xml:space="preserve"> dla uwidocznienia niewielkich struktur. Pozyskana rozdzielczość wysokokontrastowa przy 0% MTF ≥ 30 </w:t>
            </w:r>
            <w:proofErr w:type="spellStart"/>
            <w:r>
              <w:rPr>
                <w:rFonts w:eastAsia="Calibri" w:cs="Arial"/>
              </w:rPr>
              <w:t>lp</w:t>
            </w:r>
            <w:proofErr w:type="spellEnd"/>
            <w:r>
              <w:rPr>
                <w:rFonts w:eastAsia="Calibri" w:cs="Arial"/>
              </w:rPr>
              <w:t>/cm (0.17mm)</w:t>
            </w:r>
            <w:r>
              <w:rPr>
                <w:rFonts w:eastAsia="Calibri" w:cs="Arial"/>
              </w:rPr>
              <w:br/>
              <w:t>Podać nazwę licencji/oprogramowania</w:t>
            </w:r>
          </w:p>
        </w:tc>
        <w:tc>
          <w:tcPr>
            <w:tcW w:w="1470"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lang w:val="en-US"/>
              </w:rPr>
            </w:pPr>
            <w:r>
              <w:rPr>
                <w:rFonts w:eastAsia="Calibri" w:cs="Arial"/>
              </w:rPr>
              <w:t>TAK/NIE</w:t>
            </w:r>
          </w:p>
        </w:tc>
        <w:tc>
          <w:tcPr>
            <w:tcW w:w="851"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 </w:t>
            </w:r>
          </w:p>
        </w:tc>
        <w:tc>
          <w:tcPr>
            <w:tcW w:w="1979"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TAK = 2 pkt</w:t>
            </w:r>
            <w:r>
              <w:rPr>
                <w:rFonts w:eastAsia="Calibri" w:cs="Arial"/>
              </w:rPr>
              <w:br/>
              <w:t>Nie = 0 pkt</w:t>
            </w:r>
          </w:p>
        </w:tc>
      </w:tr>
    </w:tbl>
    <w:p w:rsidR="00843755" w:rsidRDefault="00843755" w:rsidP="00843755">
      <w:pPr>
        <w:jc w:val="both"/>
        <w:rPr>
          <w:rFonts w:ascii="GE Inspira" w:eastAsia="Times" w:hAnsi="GE Inspira"/>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97, 98 tabeli opisu skanera PET/CT</w:t>
      </w:r>
    </w:p>
    <w:p w:rsidR="00843755" w:rsidRDefault="00843755" w:rsidP="00843755">
      <w:pPr>
        <w:jc w:val="both"/>
      </w:pPr>
      <w:r>
        <w:t xml:space="preserve">Ponieważ automatyczne numerowanie żeber czy kręgów nie </w:t>
      </w:r>
      <w:proofErr w:type="spellStart"/>
      <w:r>
        <w:t>wnosdodatkowej</w:t>
      </w:r>
      <w:proofErr w:type="spellEnd"/>
      <w:r>
        <w:t xml:space="preserve"> jakości do diagnostyki czy planowania leczenia przy pomocy PET/CT dlatego wnosimy o  wykreślenie punktacji co pozwoli nam złożyć konkurencyjną ofertę.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149"/>
        <w:gridCol w:w="1417"/>
        <w:gridCol w:w="851"/>
        <w:gridCol w:w="1979"/>
      </w:tblGrid>
      <w:tr w:rsidR="00843755" w:rsidTr="00843755">
        <w:trPr>
          <w:trHeight w:val="1020"/>
        </w:trPr>
        <w:tc>
          <w:tcPr>
            <w:tcW w:w="666"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lang w:val="en-US"/>
              </w:rPr>
            </w:pPr>
            <w:r>
              <w:rPr>
                <w:rFonts w:eastAsia="Calibri" w:cs="Arial"/>
              </w:rPr>
              <w:t>97</w:t>
            </w:r>
          </w:p>
        </w:tc>
        <w:tc>
          <w:tcPr>
            <w:tcW w:w="4149"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Automatyczne numerowanie kręgów kręgosłupa w badaniach CT lub MR, odcinkowych jak i całego kręgosłupa, analizujące znaczniki anatomiczne z wykorzystaniem mechanizmów sztucznej inteligencji</w:t>
            </w:r>
          </w:p>
        </w:tc>
        <w:tc>
          <w:tcPr>
            <w:tcW w:w="1417"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lang w:val="en-US"/>
              </w:rPr>
            </w:pPr>
            <w:r>
              <w:rPr>
                <w:rFonts w:eastAsia="Calibri" w:cs="Arial"/>
              </w:rPr>
              <w:t>TAK/NIE</w:t>
            </w:r>
          </w:p>
        </w:tc>
        <w:tc>
          <w:tcPr>
            <w:tcW w:w="851"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 </w:t>
            </w:r>
          </w:p>
        </w:tc>
        <w:tc>
          <w:tcPr>
            <w:tcW w:w="1979"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Bez punktacji</w:t>
            </w:r>
          </w:p>
        </w:tc>
      </w:tr>
      <w:tr w:rsidR="00843755" w:rsidTr="00843755">
        <w:trPr>
          <w:trHeight w:val="765"/>
        </w:trPr>
        <w:tc>
          <w:tcPr>
            <w:tcW w:w="666"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98</w:t>
            </w:r>
          </w:p>
        </w:tc>
        <w:tc>
          <w:tcPr>
            <w:tcW w:w="4149"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Automatyczne numerowanie żeber w badaniach CT, analizujące znaczniki anatomiczne z wykorzystaniem mechanizmów sztucznej inteligencji</w:t>
            </w:r>
          </w:p>
        </w:tc>
        <w:tc>
          <w:tcPr>
            <w:tcW w:w="1417"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lang w:val="en-US"/>
              </w:rPr>
            </w:pPr>
            <w:r>
              <w:rPr>
                <w:rFonts w:eastAsia="Calibri" w:cs="Arial"/>
              </w:rPr>
              <w:t>TAK/NIE</w:t>
            </w:r>
          </w:p>
        </w:tc>
        <w:tc>
          <w:tcPr>
            <w:tcW w:w="851"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 </w:t>
            </w:r>
          </w:p>
        </w:tc>
        <w:tc>
          <w:tcPr>
            <w:tcW w:w="1979"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Bez punktacji</w:t>
            </w:r>
          </w:p>
        </w:tc>
      </w:tr>
    </w:tbl>
    <w:p w:rsidR="00843755" w:rsidRDefault="00843755" w:rsidP="00843755">
      <w:pPr>
        <w:jc w:val="both"/>
        <w:rPr>
          <w:rFonts w:ascii="GE Inspira" w:eastAsia="Times" w:hAnsi="GE Inspira"/>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116, 117 i 118 tabeli opisu skanera PET/CT</w:t>
      </w:r>
    </w:p>
    <w:p w:rsidR="00843755" w:rsidRDefault="00843755" w:rsidP="00843755">
      <w:pPr>
        <w:jc w:val="both"/>
      </w:pPr>
      <w:r>
        <w:t>Wnosimy o obniżenie punktacji w wierszach 116 – 118, która wydaje się być bezzasadnie wysoka, co pozwoli nam złożyć konkurencyjną ofertę.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245"/>
        <w:gridCol w:w="1176"/>
        <w:gridCol w:w="851"/>
        <w:gridCol w:w="1412"/>
      </w:tblGrid>
      <w:tr w:rsidR="00843755" w:rsidTr="00843755">
        <w:trPr>
          <w:trHeight w:val="510"/>
        </w:trPr>
        <w:tc>
          <w:tcPr>
            <w:tcW w:w="562"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lang w:val="en-US"/>
              </w:rPr>
            </w:pPr>
            <w:r>
              <w:rPr>
                <w:rFonts w:eastAsia="Calibri" w:cs="Arial"/>
              </w:rPr>
              <w:t>116</w:t>
            </w:r>
          </w:p>
        </w:tc>
        <w:tc>
          <w:tcPr>
            <w:tcW w:w="5245"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 xml:space="preserve">Możliwość klasyfikacji zmian w węzłach chłonnych wg klasyfikacji </w:t>
            </w:r>
            <w:proofErr w:type="spellStart"/>
            <w:r>
              <w:rPr>
                <w:rFonts w:eastAsia="Calibri" w:cs="Arial"/>
              </w:rPr>
              <w:t>Deauville</w:t>
            </w:r>
            <w:proofErr w:type="spellEnd"/>
            <w:r>
              <w:rPr>
                <w:rFonts w:eastAsia="Calibri" w:cs="Arial"/>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lang w:val="en-US"/>
              </w:rPr>
            </w:pPr>
            <w:r>
              <w:rPr>
                <w:rFonts w:eastAsia="Calibri" w:cs="Arial"/>
              </w:rPr>
              <w:t>TAK/NIE</w:t>
            </w:r>
          </w:p>
        </w:tc>
        <w:tc>
          <w:tcPr>
            <w:tcW w:w="851"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 </w:t>
            </w:r>
          </w:p>
        </w:tc>
        <w:tc>
          <w:tcPr>
            <w:tcW w:w="1412"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TAK = 2 pkt</w:t>
            </w:r>
            <w:r>
              <w:rPr>
                <w:rFonts w:eastAsia="Calibri" w:cs="Arial"/>
              </w:rPr>
              <w:br/>
              <w:t>Nie = 0 pkt</w:t>
            </w:r>
          </w:p>
        </w:tc>
      </w:tr>
      <w:tr w:rsidR="00843755" w:rsidTr="00843755">
        <w:trPr>
          <w:trHeight w:val="765"/>
        </w:trPr>
        <w:tc>
          <w:tcPr>
            <w:tcW w:w="562"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117</w:t>
            </w:r>
          </w:p>
        </w:tc>
        <w:tc>
          <w:tcPr>
            <w:tcW w:w="5245"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Możliwość porównywania badan PET z różnych aparatów, wykonanych przy różnych parametrów rekonstrukcji (technologia EQ-PET lub równoważna).</w:t>
            </w:r>
          </w:p>
        </w:tc>
        <w:tc>
          <w:tcPr>
            <w:tcW w:w="992"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lang w:val="en-US"/>
              </w:rPr>
            </w:pPr>
            <w:r>
              <w:rPr>
                <w:rFonts w:eastAsia="Calibri" w:cs="Arial"/>
              </w:rPr>
              <w:t>TAK/NIE</w:t>
            </w:r>
          </w:p>
        </w:tc>
        <w:tc>
          <w:tcPr>
            <w:tcW w:w="851"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 </w:t>
            </w:r>
          </w:p>
        </w:tc>
        <w:tc>
          <w:tcPr>
            <w:tcW w:w="1412"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TAK = 2 pkt</w:t>
            </w:r>
            <w:r>
              <w:rPr>
                <w:rFonts w:eastAsia="Calibri" w:cs="Arial"/>
              </w:rPr>
              <w:br/>
              <w:t>Nie = 0 pkt</w:t>
            </w:r>
          </w:p>
        </w:tc>
      </w:tr>
      <w:tr w:rsidR="00843755" w:rsidTr="00843755">
        <w:trPr>
          <w:trHeight w:val="510"/>
        </w:trPr>
        <w:tc>
          <w:tcPr>
            <w:tcW w:w="562"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118</w:t>
            </w:r>
          </w:p>
        </w:tc>
        <w:tc>
          <w:tcPr>
            <w:tcW w:w="5245"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 xml:space="preserve">Możliwość wyznaczania parametrów: Total </w:t>
            </w:r>
            <w:proofErr w:type="spellStart"/>
            <w:r>
              <w:rPr>
                <w:rFonts w:eastAsia="Calibri" w:cs="Arial"/>
              </w:rPr>
              <w:t>Lesion</w:t>
            </w:r>
            <w:proofErr w:type="spellEnd"/>
            <w:r>
              <w:rPr>
                <w:rFonts w:eastAsia="Calibri" w:cs="Arial"/>
              </w:rPr>
              <w:t xml:space="preserve"> </w:t>
            </w:r>
            <w:proofErr w:type="spellStart"/>
            <w:r>
              <w:rPr>
                <w:rFonts w:eastAsia="Calibri" w:cs="Arial"/>
              </w:rPr>
              <w:t>Glycolysis</w:t>
            </w:r>
            <w:proofErr w:type="spellEnd"/>
            <w:r>
              <w:rPr>
                <w:rFonts w:eastAsia="Calibri" w:cs="Arial"/>
              </w:rPr>
              <w:t xml:space="preserve"> (TLG), </w:t>
            </w:r>
            <w:proofErr w:type="spellStart"/>
            <w:r>
              <w:rPr>
                <w:rFonts w:eastAsia="Calibri" w:cs="Arial"/>
              </w:rPr>
              <w:t>Molecular</w:t>
            </w:r>
            <w:proofErr w:type="spellEnd"/>
            <w:r>
              <w:rPr>
                <w:rFonts w:eastAsia="Calibri" w:cs="Arial"/>
              </w:rPr>
              <w:t xml:space="preserve"> Tumor Volume (MTV).</w:t>
            </w:r>
          </w:p>
        </w:tc>
        <w:tc>
          <w:tcPr>
            <w:tcW w:w="992"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TAK/NIE</w:t>
            </w:r>
          </w:p>
        </w:tc>
        <w:tc>
          <w:tcPr>
            <w:tcW w:w="851"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 </w:t>
            </w:r>
          </w:p>
        </w:tc>
        <w:tc>
          <w:tcPr>
            <w:tcW w:w="1412"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TAK = 2 pkt</w:t>
            </w:r>
            <w:r>
              <w:rPr>
                <w:rFonts w:eastAsia="Calibri" w:cs="Arial"/>
              </w:rPr>
              <w:br/>
              <w:t>Nie = 0 pkt</w:t>
            </w:r>
          </w:p>
        </w:tc>
      </w:tr>
    </w:tbl>
    <w:p w:rsidR="00843755" w:rsidRDefault="00843755" w:rsidP="00843755">
      <w:pPr>
        <w:jc w:val="both"/>
        <w:rPr>
          <w:rFonts w:ascii="GE Inspira" w:eastAsia="Times" w:hAnsi="GE Inspira"/>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122 tabeli opisu skanera PET/CT</w:t>
      </w:r>
    </w:p>
    <w:p w:rsidR="00843755" w:rsidRDefault="00843755" w:rsidP="00843755">
      <w:pPr>
        <w:jc w:val="both"/>
      </w:pPr>
      <w:r>
        <w:lastRenderedPageBreak/>
        <w:t>Wnosimy o obniżenie punktacji w wierszu 122, która wydaje się być bezzasadnie wysoka, co pozwoli nam złożyć konkurencyjną ofertę.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245"/>
        <w:gridCol w:w="1176"/>
        <w:gridCol w:w="851"/>
        <w:gridCol w:w="1412"/>
      </w:tblGrid>
      <w:tr w:rsidR="00843755" w:rsidTr="00843755">
        <w:trPr>
          <w:trHeight w:val="2040"/>
        </w:trPr>
        <w:tc>
          <w:tcPr>
            <w:tcW w:w="562"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lang w:val="en-US"/>
              </w:rPr>
            </w:pPr>
            <w:r>
              <w:rPr>
                <w:rFonts w:eastAsia="Calibri" w:cs="Arial"/>
              </w:rPr>
              <w:t>122</w:t>
            </w:r>
          </w:p>
        </w:tc>
        <w:tc>
          <w:tcPr>
            <w:tcW w:w="5245"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 xml:space="preserve">Możliwość eksportu wybranych serii badania wraz z dedykowaną aplikacją na zewnętrzny napęd USB. </w:t>
            </w:r>
            <w:r>
              <w:rPr>
                <w:rFonts w:eastAsia="Calibri" w:cs="Arial"/>
              </w:rPr>
              <w:br/>
              <w:t xml:space="preserve">Aplikacja umożliwiająca przeglądanie badania na dowolnym komputerze nie mającym połączenia z serwerem aplikacyjnym, do zastosowania na potrzeby </w:t>
            </w:r>
            <w:proofErr w:type="spellStart"/>
            <w:r>
              <w:rPr>
                <w:rFonts w:eastAsia="Calibri" w:cs="Arial"/>
              </w:rPr>
              <w:t>OncoBoard</w:t>
            </w:r>
            <w:proofErr w:type="spellEnd"/>
            <w:r>
              <w:rPr>
                <w:rFonts w:eastAsia="Calibri" w:cs="Arial"/>
              </w:rPr>
              <w:t>.</w:t>
            </w:r>
            <w:r>
              <w:rPr>
                <w:rFonts w:eastAsia="Calibri" w:cs="Arial"/>
              </w:rPr>
              <w:br/>
              <w:t>Aplikacja tego samego producenta, co zaoferowany system aplikacji.</w:t>
            </w:r>
          </w:p>
        </w:tc>
        <w:tc>
          <w:tcPr>
            <w:tcW w:w="992"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TAK/NIE</w:t>
            </w:r>
          </w:p>
        </w:tc>
        <w:tc>
          <w:tcPr>
            <w:tcW w:w="851" w:type="dxa"/>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rPr>
            </w:pPr>
            <w:r>
              <w:rPr>
                <w:rFonts w:eastAsia="Calibri" w:cs="Arial"/>
              </w:rPr>
              <w:t> </w:t>
            </w:r>
          </w:p>
        </w:tc>
        <w:tc>
          <w:tcPr>
            <w:tcW w:w="1412" w:type="dxa"/>
            <w:tcBorders>
              <w:top w:val="single" w:sz="4" w:space="0" w:color="auto"/>
              <w:left w:val="single" w:sz="4" w:space="0" w:color="auto"/>
              <w:bottom w:val="single" w:sz="4" w:space="0" w:color="auto"/>
              <w:right w:val="single" w:sz="4" w:space="0" w:color="auto"/>
            </w:tcBorders>
            <w:hideMark/>
          </w:tcPr>
          <w:p w:rsidR="00843755" w:rsidRDefault="00843755">
            <w:pPr>
              <w:rPr>
                <w:rFonts w:eastAsia="Calibri" w:cs="Arial"/>
              </w:rPr>
            </w:pPr>
            <w:r>
              <w:rPr>
                <w:rFonts w:eastAsia="Calibri" w:cs="Arial"/>
              </w:rPr>
              <w:t>TAK = 2 pkt</w:t>
            </w:r>
            <w:r>
              <w:rPr>
                <w:rFonts w:eastAsia="Calibri" w:cs="Arial"/>
              </w:rPr>
              <w:br/>
              <w:t>Nie = 0 pkt</w:t>
            </w:r>
          </w:p>
        </w:tc>
      </w:tr>
    </w:tbl>
    <w:p w:rsidR="00843755" w:rsidRDefault="00843755" w:rsidP="00843755">
      <w:pPr>
        <w:jc w:val="both"/>
        <w:rPr>
          <w:rFonts w:ascii="GE Inspira" w:eastAsia="Times" w:hAnsi="GE Inspira"/>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 pkt 205 tabeli opisu skanera PET/CT</w:t>
      </w:r>
    </w:p>
    <w:p w:rsidR="00843755" w:rsidRDefault="00843755" w:rsidP="00843755">
      <w:pPr>
        <w:jc w:val="both"/>
      </w:pPr>
      <w:r>
        <w:t xml:space="preserve">Ponieważ zapis jest niejednoznaczny, nie jest określone jaki wymiar poprzecznego obrazowania </w:t>
      </w:r>
      <w:proofErr w:type="spellStart"/>
      <w:r>
        <w:t>Zamawijący</w:t>
      </w:r>
      <w:proofErr w:type="spellEnd"/>
      <w:r>
        <w:t xml:space="preserve"> ma na myśli: badanie CT diagnostyczne, badanie CT do korekcji pochłaniania czy hybrydowe badanie PET/CT. Dlatego wnosimy o całkowite wykreślenie tego parametru </w:t>
      </w:r>
      <w:proofErr w:type="spellStart"/>
      <w:r>
        <w:t>inie</w:t>
      </w:r>
      <w:proofErr w:type="spellEnd"/>
      <w:r>
        <w:t xml:space="preserve"> przyznawanie punktacji.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5035"/>
        <w:gridCol w:w="992"/>
        <w:gridCol w:w="284"/>
        <w:gridCol w:w="1979"/>
      </w:tblGrid>
      <w:tr w:rsidR="00843755" w:rsidTr="00843755">
        <w:trPr>
          <w:trHeight w:val="300"/>
        </w:trPr>
        <w:tc>
          <w:tcPr>
            <w:tcW w:w="772" w:type="dxa"/>
            <w:vMerge w:val="restart"/>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lang w:val="en-US"/>
              </w:rPr>
            </w:pPr>
            <w:r>
              <w:rPr>
                <w:rFonts w:eastAsia="Calibri" w:cs="Arial"/>
              </w:rPr>
              <w:t>205</w:t>
            </w:r>
          </w:p>
        </w:tc>
        <w:tc>
          <w:tcPr>
            <w:tcW w:w="5035" w:type="dxa"/>
            <w:tcBorders>
              <w:top w:val="single" w:sz="4" w:space="0" w:color="auto"/>
              <w:left w:val="single" w:sz="4" w:space="0" w:color="auto"/>
              <w:bottom w:val="nil"/>
              <w:right w:val="single" w:sz="4" w:space="0" w:color="auto"/>
            </w:tcBorders>
            <w:hideMark/>
          </w:tcPr>
          <w:p w:rsidR="00843755" w:rsidRDefault="00843755">
            <w:pPr>
              <w:jc w:val="both"/>
              <w:rPr>
                <w:rFonts w:eastAsia="Calibri" w:cs="Arial"/>
                <w:strike/>
              </w:rPr>
            </w:pPr>
            <w:r>
              <w:rPr>
                <w:rFonts w:eastAsia="Calibri" w:cs="Arial"/>
                <w:strike/>
              </w:rPr>
              <w:t>Maksymalny wymiar poprzeczny obrazowania</w:t>
            </w:r>
          </w:p>
        </w:tc>
        <w:tc>
          <w:tcPr>
            <w:tcW w:w="992" w:type="dxa"/>
            <w:tcBorders>
              <w:top w:val="single" w:sz="4" w:space="0" w:color="auto"/>
              <w:left w:val="single" w:sz="4" w:space="0" w:color="auto"/>
              <w:bottom w:val="nil"/>
              <w:right w:val="single" w:sz="4" w:space="0" w:color="auto"/>
            </w:tcBorders>
            <w:hideMark/>
          </w:tcPr>
          <w:p w:rsidR="00843755" w:rsidRDefault="00843755">
            <w:pPr>
              <w:jc w:val="both"/>
              <w:rPr>
                <w:rFonts w:eastAsia="Calibri" w:cs="Arial"/>
                <w:strike/>
              </w:rPr>
            </w:pPr>
            <w:r>
              <w:rPr>
                <w:rFonts w:eastAsia="Calibri" w:cs="Arial"/>
                <w:strike/>
              </w:rPr>
              <w:t>≥ 50 cm</w:t>
            </w:r>
          </w:p>
        </w:tc>
        <w:tc>
          <w:tcPr>
            <w:tcW w:w="284" w:type="dxa"/>
            <w:vMerge w:val="restart"/>
            <w:tcBorders>
              <w:top w:val="single" w:sz="4" w:space="0" w:color="auto"/>
              <w:left w:val="single" w:sz="4" w:space="0" w:color="auto"/>
              <w:bottom w:val="single" w:sz="4" w:space="0" w:color="auto"/>
              <w:right w:val="single" w:sz="4" w:space="0" w:color="auto"/>
            </w:tcBorders>
            <w:hideMark/>
          </w:tcPr>
          <w:p w:rsidR="00843755" w:rsidRDefault="00843755">
            <w:pPr>
              <w:jc w:val="both"/>
              <w:rPr>
                <w:rFonts w:eastAsia="Calibri" w:cs="Arial"/>
                <w:strike/>
              </w:rPr>
            </w:pPr>
            <w:r>
              <w:rPr>
                <w:rFonts w:eastAsia="Calibri" w:cs="Arial"/>
                <w:strike/>
              </w:rPr>
              <w:t xml:space="preserve"> </w:t>
            </w:r>
          </w:p>
        </w:tc>
        <w:tc>
          <w:tcPr>
            <w:tcW w:w="1979" w:type="dxa"/>
            <w:tcBorders>
              <w:top w:val="single" w:sz="4" w:space="0" w:color="auto"/>
              <w:left w:val="single" w:sz="4" w:space="0" w:color="auto"/>
              <w:bottom w:val="nil"/>
              <w:right w:val="single" w:sz="4" w:space="0" w:color="auto"/>
            </w:tcBorders>
            <w:hideMark/>
          </w:tcPr>
          <w:p w:rsidR="00843755" w:rsidRDefault="00843755">
            <w:pPr>
              <w:jc w:val="both"/>
              <w:rPr>
                <w:rFonts w:eastAsia="Calibri" w:cs="Arial"/>
                <w:strike/>
              </w:rPr>
            </w:pPr>
            <w:r>
              <w:rPr>
                <w:rFonts w:eastAsia="Calibri" w:cs="Arial"/>
                <w:strike/>
              </w:rPr>
              <w:t>≥ 50 cm</w:t>
            </w:r>
          </w:p>
        </w:tc>
      </w:tr>
      <w:tr w:rsidR="00843755" w:rsidTr="0084375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val="en-US" w:eastAsia="en-US"/>
              </w:rPr>
            </w:pPr>
          </w:p>
        </w:tc>
        <w:tc>
          <w:tcPr>
            <w:tcW w:w="5035" w:type="dxa"/>
            <w:tcBorders>
              <w:top w:val="nil"/>
              <w:left w:val="single" w:sz="4" w:space="0" w:color="auto"/>
              <w:bottom w:val="nil"/>
              <w:right w:val="single" w:sz="4" w:space="0" w:color="auto"/>
            </w:tcBorders>
            <w:hideMark/>
          </w:tcPr>
          <w:p w:rsidR="00843755" w:rsidRDefault="00843755">
            <w:pPr>
              <w:jc w:val="both"/>
              <w:rPr>
                <w:rFonts w:eastAsia="Calibri" w:cs="Arial"/>
                <w:strike/>
              </w:rPr>
            </w:pPr>
            <w:r>
              <w:rPr>
                <w:rFonts w:eastAsia="Calibri" w:cs="Arial"/>
                <w:strike/>
              </w:rPr>
              <w:t xml:space="preserve"> ≥ 50 cm</w:t>
            </w:r>
          </w:p>
        </w:tc>
        <w:tc>
          <w:tcPr>
            <w:tcW w:w="992" w:type="dxa"/>
            <w:tcBorders>
              <w:top w:val="nil"/>
              <w:left w:val="single" w:sz="4" w:space="0" w:color="auto"/>
              <w:bottom w:val="nil"/>
              <w:right w:val="single" w:sz="4" w:space="0" w:color="auto"/>
            </w:tcBorders>
            <w:hideMark/>
          </w:tcPr>
          <w:p w:rsidR="00843755" w:rsidRDefault="00843755">
            <w:pPr>
              <w:jc w:val="both"/>
              <w:rPr>
                <w:rFonts w:eastAsia="Calibri" w:cs="Arial"/>
                <w:strike/>
              </w:rPr>
            </w:pPr>
            <w:r>
              <w:rPr>
                <w:rFonts w:eastAsia="Calibri" w:cs="Arial"/>
                <w:strike/>
              </w:rPr>
              <w:t>podać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strike/>
                <w:kern w:val="8"/>
                <w:sz w:val="22"/>
                <w:szCs w:val="22"/>
                <w:lang w:val="en-US" w:eastAsia="en-US"/>
              </w:rPr>
            </w:pPr>
          </w:p>
        </w:tc>
        <w:tc>
          <w:tcPr>
            <w:tcW w:w="1979" w:type="dxa"/>
            <w:tcBorders>
              <w:top w:val="nil"/>
              <w:left w:val="single" w:sz="4" w:space="0" w:color="auto"/>
              <w:bottom w:val="nil"/>
              <w:right w:val="single" w:sz="4" w:space="0" w:color="auto"/>
            </w:tcBorders>
            <w:hideMark/>
          </w:tcPr>
          <w:p w:rsidR="00843755" w:rsidRDefault="00843755">
            <w:pPr>
              <w:jc w:val="both"/>
              <w:rPr>
                <w:rFonts w:eastAsia="Calibri" w:cs="Arial"/>
                <w:strike/>
              </w:rPr>
            </w:pPr>
            <w:r>
              <w:rPr>
                <w:rFonts w:eastAsia="Calibri" w:cs="Arial"/>
                <w:strike/>
              </w:rPr>
              <w:t>wartość największa 15 pkt.,</w:t>
            </w:r>
          </w:p>
        </w:tc>
      </w:tr>
      <w:tr w:rsidR="00843755" w:rsidTr="00843755">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kern w:val="8"/>
                <w:sz w:val="22"/>
                <w:szCs w:val="22"/>
                <w:lang w:val="en-US" w:eastAsia="en-US"/>
              </w:rPr>
            </w:pPr>
          </w:p>
        </w:tc>
        <w:tc>
          <w:tcPr>
            <w:tcW w:w="5035" w:type="dxa"/>
            <w:tcBorders>
              <w:top w:val="nil"/>
              <w:left w:val="single" w:sz="4" w:space="0" w:color="auto"/>
              <w:bottom w:val="single" w:sz="4" w:space="0" w:color="auto"/>
              <w:right w:val="single" w:sz="4" w:space="0" w:color="auto"/>
            </w:tcBorders>
            <w:hideMark/>
          </w:tcPr>
          <w:p w:rsidR="00843755" w:rsidRDefault="00843755">
            <w:pPr>
              <w:rPr>
                <w:rFonts w:eastAsia="Calibri" w:cs="Arial"/>
                <w:iCs/>
                <w:u w:val="single"/>
              </w:rPr>
            </w:pPr>
            <w:r>
              <w:rPr>
                <w:rFonts w:eastAsia="Calibri" w:cs="Arial"/>
                <w:iCs/>
                <w:u w:val="single"/>
              </w:rPr>
              <w:t>Wiersz wykreślony</w:t>
            </w:r>
          </w:p>
        </w:tc>
        <w:tc>
          <w:tcPr>
            <w:tcW w:w="992" w:type="dxa"/>
            <w:tcBorders>
              <w:top w:val="nil"/>
              <w:left w:val="single" w:sz="4" w:space="0" w:color="auto"/>
              <w:bottom w:val="single" w:sz="4" w:space="0" w:color="auto"/>
              <w:right w:val="single" w:sz="4" w:space="0" w:color="auto"/>
            </w:tcBorders>
            <w:hideMark/>
          </w:tcPr>
          <w:p w:rsidR="00843755" w:rsidRDefault="00843755">
            <w:pPr>
              <w:jc w:val="both"/>
              <w:rPr>
                <w:rFonts w:eastAsia="Calibri" w:cs="Arial"/>
                <w:strike/>
                <w:lang w:val="en-US"/>
              </w:rPr>
            </w:pPr>
            <w:r>
              <w:rPr>
                <w:rFonts w:eastAsia="Calibri" w:cs="Arial"/>
                <w:strike/>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755" w:rsidRDefault="00843755">
            <w:pPr>
              <w:rPr>
                <w:rFonts w:ascii="GE Inspira" w:eastAsia="Calibri" w:hAnsi="GE Inspira" w:cs="Arial"/>
                <w:strike/>
                <w:kern w:val="8"/>
                <w:sz w:val="22"/>
                <w:szCs w:val="22"/>
                <w:lang w:val="en-US" w:eastAsia="en-US"/>
              </w:rPr>
            </w:pPr>
          </w:p>
        </w:tc>
        <w:tc>
          <w:tcPr>
            <w:tcW w:w="1979" w:type="dxa"/>
            <w:tcBorders>
              <w:top w:val="nil"/>
              <w:left w:val="single" w:sz="4" w:space="0" w:color="auto"/>
              <w:bottom w:val="single" w:sz="4" w:space="0" w:color="auto"/>
              <w:right w:val="single" w:sz="4" w:space="0" w:color="auto"/>
            </w:tcBorders>
            <w:hideMark/>
          </w:tcPr>
          <w:p w:rsidR="00843755" w:rsidRDefault="00843755">
            <w:pPr>
              <w:jc w:val="both"/>
              <w:rPr>
                <w:rFonts w:eastAsia="Calibri" w:cs="Arial"/>
                <w:strike/>
              </w:rPr>
            </w:pPr>
            <w:r>
              <w:rPr>
                <w:rFonts w:eastAsia="Calibri" w:cs="Arial"/>
                <w:strike/>
              </w:rPr>
              <w:t>inne proporcjonalnie</w:t>
            </w:r>
          </w:p>
        </w:tc>
      </w:tr>
    </w:tbl>
    <w:p w:rsidR="00843755" w:rsidRDefault="00843755" w:rsidP="00843755">
      <w:pPr>
        <w:jc w:val="both"/>
        <w:rPr>
          <w:rFonts w:ascii="GE Inspira" w:eastAsia="Times" w:hAnsi="GE Inspira"/>
          <w:kern w:val="8"/>
          <w:sz w:val="22"/>
          <w:szCs w:val="22"/>
          <w:lang w:eastAsia="en-US"/>
        </w:rPr>
      </w:pPr>
    </w:p>
    <w:p w:rsidR="00843755" w:rsidRDefault="00843755" w:rsidP="00843755">
      <w:pPr>
        <w:numPr>
          <w:ilvl w:val="0"/>
          <w:numId w:val="12"/>
        </w:numPr>
        <w:suppressAutoHyphens w:val="0"/>
        <w:spacing w:line="280" w:lineRule="exact"/>
        <w:jc w:val="both"/>
        <w:rPr>
          <w:b/>
        </w:rPr>
      </w:pPr>
      <w:r>
        <w:rPr>
          <w:b/>
        </w:rPr>
        <w:t>Dotyczy załącznika nr 1 do SIWZ, w części PET/CT.</w:t>
      </w:r>
    </w:p>
    <w:p w:rsidR="00843755" w:rsidRDefault="00843755" w:rsidP="00843755">
      <w:pPr>
        <w:jc w:val="both"/>
      </w:pPr>
      <w:r>
        <w:t xml:space="preserve">Prosimy o rozważenie wprowadzenia punktacji za zaoferowanie oprogramowania do analizy badań bramkowanych oddechowo, istotnie poprawiającego ocenę ilościową wychwytu bez konieczności wydłużenia czasu akwizycji tak jak ma to miejsce w </w:t>
      </w:r>
      <w:proofErr w:type="spellStart"/>
      <w:r>
        <w:t>powsazechniw</w:t>
      </w:r>
      <w:proofErr w:type="spellEnd"/>
      <w:r>
        <w:t xml:space="preserve"> stosowanej metodzie 4D. Precyzyjna ocena ilościowa ma kapitalne znaczenie w ocenie </w:t>
      </w:r>
      <w:proofErr w:type="spellStart"/>
      <w:r>
        <w:t>stopnaia</w:t>
      </w:r>
      <w:proofErr w:type="spellEnd"/>
      <w:r>
        <w:t xml:space="preserve"> zaawansowania choroby nowotworowej oraz w ocenie indywidualnej reakcji pacjenta na leczenie. Badania w obszarze klatki piersiowej oraz brzucha obarczone są nawet 100% błędami w ocenie ilościowej wychwytu oraz ocenie objętości zmiany. Usunięcie artefaktów ruchowych bez konieczności wydłużenia czasu badania ma z kolei istotne znaczenie w procesie planowania radioterapii. Proponujemy wprowadzenie następującej punktacji: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245"/>
        <w:gridCol w:w="1176"/>
        <w:gridCol w:w="851"/>
        <w:gridCol w:w="1412"/>
      </w:tblGrid>
      <w:tr w:rsidR="00843755" w:rsidTr="00843755">
        <w:trPr>
          <w:trHeight w:val="300"/>
        </w:trPr>
        <w:tc>
          <w:tcPr>
            <w:tcW w:w="562" w:type="dxa"/>
            <w:tcBorders>
              <w:top w:val="single" w:sz="4" w:space="0" w:color="auto"/>
              <w:left w:val="single" w:sz="4" w:space="0" w:color="auto"/>
              <w:bottom w:val="single" w:sz="4" w:space="0" w:color="auto"/>
              <w:right w:val="single" w:sz="4" w:space="0" w:color="auto"/>
            </w:tcBorders>
            <w:noWrap/>
            <w:hideMark/>
          </w:tcPr>
          <w:p w:rsidR="00843755" w:rsidRDefault="00843755">
            <w:pPr>
              <w:jc w:val="both"/>
              <w:rPr>
                <w:rFonts w:eastAsia="Calibri" w:cs="Arial"/>
                <w:lang w:val="en-US"/>
              </w:rPr>
            </w:pPr>
            <w:r>
              <w:rPr>
                <w:rFonts w:eastAsia="Calibri" w:cs="Arial"/>
              </w:rPr>
              <w:t>215</w:t>
            </w:r>
          </w:p>
        </w:tc>
        <w:tc>
          <w:tcPr>
            <w:tcW w:w="5245" w:type="dxa"/>
            <w:tcBorders>
              <w:top w:val="single" w:sz="4" w:space="0" w:color="auto"/>
              <w:left w:val="single" w:sz="4" w:space="0" w:color="auto"/>
              <w:bottom w:val="single" w:sz="4" w:space="0" w:color="auto"/>
              <w:right w:val="single" w:sz="4" w:space="0" w:color="auto"/>
            </w:tcBorders>
            <w:noWrap/>
            <w:hideMark/>
          </w:tcPr>
          <w:p w:rsidR="00843755" w:rsidRDefault="00843755">
            <w:pPr>
              <w:rPr>
                <w:rFonts w:eastAsia="Calibri" w:cs="Arial"/>
              </w:rPr>
            </w:pPr>
            <w:r>
              <w:rPr>
                <w:rFonts w:eastAsia="Calibri" w:cs="Arial"/>
              </w:rPr>
              <w:t xml:space="preserve">Oprogramowanie do badań bramkowanych oddechowo polegające na zbieraniu danych PET i CT we wszystkich fazach cyklu oddechowego bez wydłużania czasu akwizycji na pozycję łóżka, następnie dopasowaniu ich w fazie cyklu w celu korekcji pochłaniania. Tak powstałe obrazy dla poszczególnych faz cyklu oddechowego zostają nałożone na siebie, na przykład metodą wektorów przepływów optycznych 3D, w celu utworzenia jednego statycznego obrazu. Metoda wykorzystująca 100% </w:t>
            </w:r>
            <w:proofErr w:type="spellStart"/>
            <w:r>
              <w:rPr>
                <w:rFonts w:eastAsia="Calibri" w:cs="Arial"/>
              </w:rPr>
              <w:t>zliczeń</w:t>
            </w:r>
            <w:proofErr w:type="spellEnd"/>
            <w:r>
              <w:rPr>
                <w:rFonts w:eastAsia="Calibri" w:cs="Arial"/>
              </w:rPr>
              <w:t xml:space="preserve"> skorygowanych pod względem ruchomości oddechowych (np. </w:t>
            </w:r>
            <w:proofErr w:type="spellStart"/>
            <w:r>
              <w:rPr>
                <w:rFonts w:eastAsia="Calibri" w:cs="Arial"/>
              </w:rPr>
              <w:t>Q.Freez</w:t>
            </w:r>
            <w:proofErr w:type="spellEnd"/>
            <w:r>
              <w:rPr>
                <w:rFonts w:eastAsia="Calibri" w:cs="Arial"/>
              </w:rPr>
              <w:t xml:space="preserve"> lub równoważne). </w:t>
            </w:r>
          </w:p>
        </w:tc>
        <w:tc>
          <w:tcPr>
            <w:tcW w:w="992" w:type="dxa"/>
            <w:tcBorders>
              <w:top w:val="single" w:sz="4" w:space="0" w:color="auto"/>
              <w:left w:val="single" w:sz="4" w:space="0" w:color="auto"/>
              <w:bottom w:val="single" w:sz="4" w:space="0" w:color="auto"/>
              <w:right w:val="single" w:sz="4" w:space="0" w:color="auto"/>
            </w:tcBorders>
            <w:noWrap/>
            <w:hideMark/>
          </w:tcPr>
          <w:p w:rsidR="00843755" w:rsidRDefault="00843755">
            <w:pPr>
              <w:jc w:val="both"/>
              <w:rPr>
                <w:rFonts w:eastAsia="Calibri" w:cs="Arial"/>
              </w:rPr>
            </w:pPr>
            <w:r>
              <w:rPr>
                <w:rFonts w:eastAsia="Calibri" w:cs="Arial"/>
              </w:rPr>
              <w:t>TAK/NIE</w:t>
            </w:r>
          </w:p>
        </w:tc>
        <w:tc>
          <w:tcPr>
            <w:tcW w:w="851" w:type="dxa"/>
            <w:tcBorders>
              <w:top w:val="single" w:sz="4" w:space="0" w:color="auto"/>
              <w:left w:val="single" w:sz="4" w:space="0" w:color="auto"/>
              <w:bottom w:val="single" w:sz="4" w:space="0" w:color="auto"/>
              <w:right w:val="single" w:sz="4" w:space="0" w:color="auto"/>
            </w:tcBorders>
            <w:noWrap/>
            <w:hideMark/>
          </w:tcPr>
          <w:p w:rsidR="00843755" w:rsidRDefault="00843755">
            <w:pPr>
              <w:jc w:val="both"/>
              <w:rPr>
                <w:rFonts w:eastAsia="Calibri" w:cs="Arial"/>
              </w:rPr>
            </w:pPr>
            <w:r>
              <w:rPr>
                <w:rFonts w:eastAsia="Calibri" w:cs="Arial"/>
              </w:rPr>
              <w:t> </w:t>
            </w:r>
          </w:p>
        </w:tc>
        <w:tc>
          <w:tcPr>
            <w:tcW w:w="1412" w:type="dxa"/>
            <w:tcBorders>
              <w:top w:val="single" w:sz="4" w:space="0" w:color="auto"/>
              <w:left w:val="single" w:sz="4" w:space="0" w:color="auto"/>
              <w:bottom w:val="single" w:sz="4" w:space="0" w:color="auto"/>
              <w:right w:val="single" w:sz="4" w:space="0" w:color="auto"/>
            </w:tcBorders>
            <w:noWrap/>
            <w:hideMark/>
          </w:tcPr>
          <w:p w:rsidR="00843755" w:rsidRDefault="00843755">
            <w:pPr>
              <w:rPr>
                <w:rFonts w:eastAsia="Calibri" w:cs="Arial"/>
              </w:rPr>
            </w:pPr>
            <w:r>
              <w:rPr>
                <w:rFonts w:eastAsia="Calibri" w:cs="Arial"/>
              </w:rPr>
              <w:t>TAK = 20 pkt</w:t>
            </w:r>
            <w:r>
              <w:rPr>
                <w:rFonts w:eastAsia="Calibri" w:cs="Arial"/>
              </w:rPr>
              <w:br/>
              <w:t>Nie = 0 pkt</w:t>
            </w:r>
          </w:p>
        </w:tc>
      </w:tr>
    </w:tbl>
    <w:p w:rsidR="00843755" w:rsidRDefault="00843755" w:rsidP="00843755">
      <w:pPr>
        <w:jc w:val="both"/>
        <w:rPr>
          <w:rFonts w:ascii="GE Inspira" w:eastAsia="Times" w:hAnsi="GE Inspira" w:cs="Arial"/>
          <w:kern w:val="8"/>
          <w:sz w:val="22"/>
          <w:szCs w:val="22"/>
          <w:lang w:eastAsia="en-US"/>
        </w:rPr>
      </w:pPr>
    </w:p>
    <w:p w:rsidR="009307AF" w:rsidRPr="009307AF" w:rsidRDefault="009307AF">
      <w:pPr>
        <w:rPr>
          <w:rFonts w:ascii="Arial" w:hAnsi="Arial" w:cs="Arial"/>
          <w:b/>
          <w:u w:val="single"/>
        </w:rPr>
      </w:pPr>
      <w:r w:rsidRPr="009307AF">
        <w:rPr>
          <w:rFonts w:ascii="Arial" w:hAnsi="Arial" w:cs="Arial"/>
          <w:b/>
          <w:u w:val="single"/>
        </w:rPr>
        <w:t xml:space="preserve">Zapytania nr 6 z dnia 12.06.2018 </w:t>
      </w:r>
    </w:p>
    <w:p w:rsidR="009307AF" w:rsidRDefault="009307AF">
      <w:pPr>
        <w:rPr>
          <w:rFonts w:ascii="Arial" w:hAnsi="Arial" w:cs="Arial"/>
          <w:b/>
        </w:rPr>
      </w:pPr>
    </w:p>
    <w:p w:rsidR="009307AF" w:rsidRPr="009307AF" w:rsidRDefault="009307AF" w:rsidP="009307AF">
      <w:pPr>
        <w:suppressAutoHyphens w:val="0"/>
        <w:rPr>
          <w:rFonts w:ascii="Calibri" w:hAnsi="Calibri" w:cs="Calibri"/>
          <w:lang w:eastAsia="pl-PL"/>
        </w:rPr>
      </w:pPr>
      <w:r w:rsidRPr="009307AF">
        <w:rPr>
          <w:rFonts w:ascii="Calibri" w:hAnsi="Calibri" w:cs="Calibri"/>
          <w:lang w:eastAsia="pl-PL"/>
        </w:rPr>
        <w:t>Pyt.1 dot. Pkt.5</w:t>
      </w:r>
    </w:p>
    <w:p w:rsidR="009307AF" w:rsidRPr="009307AF" w:rsidRDefault="009307AF" w:rsidP="009307AF">
      <w:pPr>
        <w:suppressAutoHyphens w:val="0"/>
        <w:autoSpaceDE w:val="0"/>
        <w:autoSpaceDN w:val="0"/>
        <w:adjustRightInd w:val="0"/>
        <w:rPr>
          <w:rFonts w:ascii="Calibri" w:hAnsi="Calibri" w:cs="Calibri"/>
          <w:bCs/>
          <w:color w:val="000000"/>
          <w:lang w:eastAsia="pl-PL"/>
        </w:rPr>
      </w:pPr>
      <w:r w:rsidRPr="009307AF">
        <w:rPr>
          <w:rFonts w:ascii="Calibri" w:hAnsi="Calibri" w:cs="Calibri"/>
          <w:bCs/>
          <w:color w:val="000000"/>
          <w:lang w:eastAsia="pl-PL"/>
        </w:rPr>
        <w:t>Czy zamawiający dopuści stację dokującą która po zainstalowaniu na wózku posiada wymiary: 1420mm x 620mm x 600mm ?</w:t>
      </w:r>
    </w:p>
    <w:p w:rsidR="009307AF" w:rsidRPr="009307AF" w:rsidRDefault="009307AF" w:rsidP="009307AF">
      <w:pPr>
        <w:suppressAutoHyphens w:val="0"/>
        <w:spacing w:after="60"/>
        <w:ind w:left="360"/>
        <w:rPr>
          <w:rFonts w:ascii="Calibri" w:hAnsi="Calibri"/>
          <w:lang w:eastAsia="pl-PL"/>
        </w:rPr>
      </w:pPr>
      <w:r w:rsidRPr="009307AF">
        <w:rPr>
          <w:rFonts w:ascii="Calibri" w:hAnsi="Calibri"/>
          <w:lang w:eastAsia="pl-PL"/>
        </w:rPr>
        <w:lastRenderedPageBreak/>
        <w:t>Pyt.2 dot. Pkt.6</w:t>
      </w:r>
    </w:p>
    <w:p w:rsidR="009307AF" w:rsidRPr="009307AF" w:rsidRDefault="009307AF" w:rsidP="009307AF">
      <w:pPr>
        <w:suppressAutoHyphens w:val="0"/>
        <w:autoSpaceDE w:val="0"/>
        <w:autoSpaceDN w:val="0"/>
        <w:adjustRightInd w:val="0"/>
        <w:rPr>
          <w:rFonts w:ascii="Calibri" w:hAnsi="Calibri" w:cs="Calibri"/>
          <w:bCs/>
          <w:color w:val="000000"/>
          <w:lang w:eastAsia="pl-PL"/>
        </w:rPr>
      </w:pPr>
      <w:r w:rsidRPr="009307AF">
        <w:rPr>
          <w:rFonts w:ascii="Calibri" w:hAnsi="Calibri" w:cs="Calibri"/>
          <w:bCs/>
          <w:color w:val="000000"/>
          <w:lang w:eastAsia="pl-PL"/>
        </w:rPr>
        <w:t xml:space="preserve">Czy zamawiający w zapisie: Waga max 15 kg bez pomp, rozumie wagę samej obudowy stacji dokującej, </w:t>
      </w:r>
    </w:p>
    <w:p w:rsidR="009307AF" w:rsidRPr="009307AF" w:rsidRDefault="009307AF" w:rsidP="009307AF">
      <w:pPr>
        <w:suppressAutoHyphens w:val="0"/>
        <w:autoSpaceDE w:val="0"/>
        <w:autoSpaceDN w:val="0"/>
        <w:adjustRightInd w:val="0"/>
        <w:rPr>
          <w:rFonts w:ascii="Calibri" w:hAnsi="Calibri" w:cs="Calibri"/>
          <w:bCs/>
          <w:color w:val="000000"/>
          <w:lang w:eastAsia="pl-PL"/>
        </w:rPr>
      </w:pPr>
      <w:r w:rsidRPr="009307AF">
        <w:rPr>
          <w:rFonts w:ascii="Calibri" w:hAnsi="Calibri" w:cs="Calibri"/>
          <w:bCs/>
          <w:color w:val="000000"/>
          <w:lang w:eastAsia="pl-PL"/>
        </w:rPr>
        <w:t>natomiast dopuszcza, aby waga całej konstrukcji wraz z wózkiem jezdnym wynosiła 50 kg ?</w:t>
      </w:r>
    </w:p>
    <w:p w:rsidR="009307AF" w:rsidRPr="009307AF" w:rsidRDefault="009307AF" w:rsidP="009307AF">
      <w:pPr>
        <w:suppressAutoHyphens w:val="0"/>
        <w:rPr>
          <w:rFonts w:ascii="Calibri" w:hAnsi="Calibri" w:cs="Calibri"/>
          <w:lang w:eastAsia="pl-PL"/>
        </w:rPr>
      </w:pPr>
    </w:p>
    <w:p w:rsidR="009307AF" w:rsidRPr="009307AF" w:rsidRDefault="009307AF" w:rsidP="009307AF">
      <w:pPr>
        <w:suppressAutoHyphens w:val="0"/>
        <w:rPr>
          <w:rFonts w:ascii="Calibri" w:hAnsi="Calibri" w:cs="Calibri"/>
          <w:lang w:eastAsia="pl-PL"/>
        </w:rPr>
      </w:pPr>
      <w:r>
        <w:rPr>
          <w:rFonts w:ascii="Calibri" w:hAnsi="Calibri" w:cs="Calibri"/>
          <w:lang w:eastAsia="pl-PL"/>
        </w:rPr>
        <w:t xml:space="preserve">     </w:t>
      </w:r>
      <w:r w:rsidRPr="009307AF">
        <w:rPr>
          <w:rFonts w:ascii="Calibri" w:hAnsi="Calibri" w:cs="Calibri"/>
          <w:lang w:eastAsia="pl-PL"/>
        </w:rPr>
        <w:t xml:space="preserve">Pyt. 3 </w:t>
      </w:r>
    </w:p>
    <w:p w:rsidR="009307AF" w:rsidRPr="009307AF" w:rsidRDefault="009307AF" w:rsidP="009307AF">
      <w:pPr>
        <w:suppressAutoHyphens w:val="0"/>
        <w:rPr>
          <w:rFonts w:ascii="Calibri" w:hAnsi="Calibri" w:cs="Calibri"/>
          <w:lang w:eastAsia="pl-PL"/>
        </w:rPr>
      </w:pPr>
    </w:p>
    <w:p w:rsidR="009307AF" w:rsidRPr="009307AF" w:rsidRDefault="009307AF" w:rsidP="009307AF">
      <w:pPr>
        <w:suppressAutoHyphens w:val="0"/>
        <w:autoSpaceDE w:val="0"/>
        <w:autoSpaceDN w:val="0"/>
        <w:adjustRightInd w:val="0"/>
        <w:rPr>
          <w:rFonts w:ascii="Calibri" w:hAnsi="Calibri" w:cs="Calibri"/>
          <w:color w:val="000000"/>
          <w:lang w:eastAsia="pl-PL"/>
        </w:rPr>
      </w:pPr>
      <w:r w:rsidRPr="009307AF">
        <w:rPr>
          <w:rFonts w:ascii="Calibri" w:hAnsi="Calibri" w:cs="Calibri"/>
          <w:bCs/>
          <w:color w:val="000000"/>
          <w:lang w:eastAsia="pl-PL"/>
        </w:rPr>
        <w:t>Czy zamawiający wymaga aby wózek był wyposażony w szufladę np. na akcesoria, instrukcję obsługi itp</w:t>
      </w:r>
      <w:r w:rsidRPr="009307AF">
        <w:rPr>
          <w:rFonts w:ascii="Calibri" w:hAnsi="Calibri" w:cs="Calibri"/>
          <w:color w:val="000000"/>
          <w:lang w:eastAsia="pl-PL"/>
        </w:rPr>
        <w:t>. ?</w:t>
      </w:r>
    </w:p>
    <w:p w:rsidR="009307AF" w:rsidRPr="009307AF" w:rsidRDefault="009307AF" w:rsidP="009307AF">
      <w:pPr>
        <w:suppressAutoHyphens w:val="0"/>
        <w:rPr>
          <w:rFonts w:ascii="Calibri" w:hAnsi="Calibri" w:cs="Calibri"/>
          <w:lang w:eastAsia="pl-PL"/>
        </w:rPr>
      </w:pPr>
    </w:p>
    <w:p w:rsidR="009307AF" w:rsidRPr="009307AF" w:rsidRDefault="009307AF" w:rsidP="009307AF">
      <w:pPr>
        <w:suppressAutoHyphens w:val="0"/>
        <w:rPr>
          <w:rFonts w:ascii="Arial" w:hAnsi="Arial" w:cs="Arial"/>
          <w:b/>
          <w:u w:val="single"/>
          <w:lang w:eastAsia="pl-PL"/>
        </w:rPr>
      </w:pPr>
      <w:r w:rsidRPr="009307AF">
        <w:rPr>
          <w:rFonts w:ascii="Arial" w:hAnsi="Arial" w:cs="Arial"/>
          <w:b/>
          <w:u w:val="single"/>
          <w:lang w:eastAsia="pl-PL"/>
        </w:rPr>
        <w:t>Zapytania nr 7 z dnia 12.06.2018</w:t>
      </w:r>
    </w:p>
    <w:p w:rsidR="009307AF" w:rsidRDefault="009307AF">
      <w:pPr>
        <w:rPr>
          <w:rFonts w:ascii="Arial" w:hAnsi="Arial" w:cs="Arial"/>
          <w:b/>
        </w:rPr>
      </w:pPr>
    </w:p>
    <w:p w:rsidR="00A96582" w:rsidRDefault="00A96582" w:rsidP="00A96582">
      <w:pPr>
        <w:pStyle w:val="Normalny1"/>
      </w:pPr>
      <w:r>
        <w:rPr>
          <w:rFonts w:ascii="Helvetica Neue" w:hAnsi="Helvetica Neue" w:cs="Helvetica Neue"/>
          <w:b/>
          <w:bCs/>
          <w:sz w:val="22"/>
          <w:szCs w:val="22"/>
        </w:rPr>
        <w:t>N. System monitorowania pacjentów w środowisku MRI</w:t>
      </w:r>
    </w:p>
    <w:p w:rsidR="00A96582" w:rsidRDefault="00A96582" w:rsidP="00A96582">
      <w:pPr>
        <w:pStyle w:val="Normalny1"/>
        <w:rPr>
          <w:rFonts w:ascii="Helvetica Neue" w:eastAsia="Helvetica Neue" w:hAnsi="Helvetica Neue" w:cs="Helvetica Neue"/>
          <w:b/>
          <w:bCs/>
          <w:sz w:val="22"/>
          <w:szCs w:val="22"/>
        </w:rPr>
      </w:pP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N.4.</w:t>
      </w:r>
      <w:r>
        <w:rPr>
          <w:rFonts w:ascii="Helvetica Neue" w:hAnsi="Helvetica Neue" w:cs="Helvetica Neue"/>
          <w:sz w:val="22"/>
          <w:szCs w:val="22"/>
        </w:rPr>
        <w:t>) Czy Zamawiający dopuści kardiomonitor, wykonany w równoważnej technologii nie wymagającej wewnętrznego detektora pola magnetycznego automatycznie wyłączającego monitorowanie NIBP po przekroczeniu minimalnej odległości ustawienia kardiomonitora względem aparatu MR, ponieważ technologia wykonania oferowanego przez nas kardiomonitora (bezpieczeństwo pracy do 30 000 gausów) zapewnia ciągły pomiar NIBP, niezależnie od natężenia pola magnetycznego?</w:t>
      </w:r>
    </w:p>
    <w:p w:rsidR="00A96582" w:rsidRDefault="00A96582" w:rsidP="00A96582">
      <w:pPr>
        <w:pStyle w:val="Normalny1"/>
        <w:numPr>
          <w:ilvl w:val="0"/>
          <w:numId w:val="16"/>
        </w:numPr>
        <w:spacing w:after="100"/>
      </w:pPr>
      <w:r>
        <w:rPr>
          <w:rFonts w:ascii="Helvetica Neue" w:hAnsi="Helvetica Neue" w:cs="Helvetica Neue"/>
          <w:b/>
          <w:bCs/>
          <w:sz w:val="22"/>
          <w:szCs w:val="22"/>
        </w:rPr>
        <w:t>(</w:t>
      </w:r>
      <w:r>
        <w:rPr>
          <w:rFonts w:ascii="Helvetica Neue" w:hAnsi="Helvetica Neue" w:cs="Helvetica Neue"/>
          <w:sz w:val="22"/>
          <w:szCs w:val="22"/>
        </w:rPr>
        <w:t>Pkt N.5.</w:t>
      </w:r>
      <w:r>
        <w:t xml:space="preserve">) Czy Zamawiający dopuści kardiomonitor, wykonany w równoważnej technologii nie wymagającej opisanej przez Zamawiającego konstrukcji kolumnowej, ponieważ technologia wykonania oferowanego przez nas kardiomonitora (bezpieczeństwo pracy do 30 000 gausów) zapewnia pełną jego funkcjonalność podczas używania wbudowanych w konstrukcję </w:t>
      </w:r>
      <w:r>
        <w:rPr>
          <w:rFonts w:ascii="Helvetica Neue" w:hAnsi="Helvetica Neue" w:cs="Helvetica Neue"/>
          <w:sz w:val="22"/>
          <w:szCs w:val="22"/>
        </w:rPr>
        <w:t>monitora modułów połączeń pacjenta (podobnie do przenośnych monitorów transportowych przeważnie używanych w ośrodkach zdrowia), modułów przetwarzania danych i zasilania, wyposażonego w dwie kieszenie do przechowywania i zasilania modułów bezprzewodowych?</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N.8.</w:t>
      </w:r>
      <w:r>
        <w:rPr>
          <w:rFonts w:ascii="Helvetica Neue" w:hAnsi="Helvetica Neue" w:cs="Helvetica Neue"/>
          <w:sz w:val="22"/>
          <w:szCs w:val="22"/>
        </w:rPr>
        <w:t>) Czy Zamawiający dopuści kardiomonitor wyposażony w pokrętło włączające, klawiaturę funkcyjną oraz ekran dotykowy?</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N.13.</w:t>
      </w:r>
      <w:r>
        <w:rPr>
          <w:rFonts w:ascii="Helvetica Neue" w:hAnsi="Helvetica Neue" w:cs="Helvetica Neue"/>
          <w:sz w:val="22"/>
          <w:szCs w:val="22"/>
        </w:rPr>
        <w:t>) Czy Zamawiający dopuści kardiomonitor wyposażony w dotykowy ekran kolorowy TFT o rozdzielczości 800 x 480 z podświetleniem LED o przekątnej ekranu 10,1’’?</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N.20.</w:t>
      </w:r>
      <w:r>
        <w:rPr>
          <w:rFonts w:ascii="Helvetica Neue" w:hAnsi="Helvetica Neue" w:cs="Helvetica Neue"/>
          <w:sz w:val="22"/>
          <w:szCs w:val="22"/>
        </w:rPr>
        <w:t>) Czy Zamawiający dopuści kardiomonitor wyposażony w dedykowany przycisk trendów, bez możliwości prezentacji na ekranie kardiomonitora w trybie monitorowania pacjenta graficznego wskaźnika bieżących trendów poszczególnych monitorowanych parametrów?</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N.22.</w:t>
      </w:r>
      <w:r>
        <w:rPr>
          <w:rFonts w:ascii="Helvetica Neue" w:hAnsi="Helvetica Neue" w:cs="Helvetica Neue"/>
          <w:sz w:val="22"/>
          <w:szCs w:val="22"/>
        </w:rPr>
        <w:t>) Czy Zamawiający dopuści kardiomonitor, w którym status/stan naładowania akumulatora modułu EKG prezentowany jest na ekranie kardiomonitora, rejestracja EKG dokonywana jest za pomocą bezprzewodowego modułu EKG zasilanego akumulatorowo, z akumulatorem doładowywanym w ładowarce umiejscowionej w kieszeni do przechowywania i zasilania modułu bezprzewodowego?</w:t>
      </w:r>
    </w:p>
    <w:p w:rsidR="00A96582" w:rsidRPr="00817C3E" w:rsidRDefault="00A96582" w:rsidP="00A96582">
      <w:pPr>
        <w:pStyle w:val="Normalny1"/>
        <w:numPr>
          <w:ilvl w:val="0"/>
          <w:numId w:val="16"/>
        </w:numPr>
        <w:spacing w:after="100"/>
      </w:pPr>
      <w:r w:rsidRPr="004855AD">
        <w:rPr>
          <w:rFonts w:ascii="Helvetica Neue" w:hAnsi="Helvetica Neue" w:cs="Helvetica Neue"/>
          <w:sz w:val="22"/>
          <w:szCs w:val="22"/>
        </w:rPr>
        <w:t>(</w:t>
      </w:r>
      <w:r w:rsidRPr="004855AD">
        <w:rPr>
          <w:rFonts w:ascii="Helvetica Neue" w:hAnsi="Helvetica Neue" w:cs="Helvetica Neue"/>
          <w:b/>
          <w:bCs/>
          <w:sz w:val="22"/>
          <w:szCs w:val="22"/>
        </w:rPr>
        <w:t>Pkt N.25.</w:t>
      </w:r>
      <w:r w:rsidRPr="004855AD">
        <w:rPr>
          <w:rFonts w:ascii="Helvetica Neue" w:hAnsi="Helvetica Neue" w:cs="Helvetica Neue"/>
          <w:sz w:val="22"/>
          <w:szCs w:val="22"/>
        </w:rPr>
        <w:t xml:space="preserve">) Czy Zamawiający dopuści kardiomonitor wyposażony w pomiar częstości pracy serca w zakresie od 30 do 250 </w:t>
      </w:r>
      <w:proofErr w:type="spellStart"/>
      <w:r w:rsidRPr="004855AD">
        <w:rPr>
          <w:rFonts w:ascii="Helvetica Neue" w:hAnsi="Helvetica Neue" w:cs="Helvetica Neue"/>
          <w:sz w:val="22"/>
          <w:szCs w:val="22"/>
        </w:rPr>
        <w:t>bpm</w:t>
      </w:r>
      <w:proofErr w:type="spellEnd"/>
      <w:r w:rsidRPr="004855AD">
        <w:rPr>
          <w:rFonts w:ascii="Helvetica Neue" w:hAnsi="Helvetica Neue" w:cs="Helvetica Neue"/>
          <w:sz w:val="22"/>
          <w:szCs w:val="22"/>
        </w:rPr>
        <w:t>?</w:t>
      </w:r>
    </w:p>
    <w:p w:rsidR="00A96582" w:rsidRDefault="00A96582" w:rsidP="00A96582">
      <w:pPr>
        <w:pStyle w:val="Normalny1"/>
        <w:numPr>
          <w:ilvl w:val="0"/>
          <w:numId w:val="16"/>
        </w:numPr>
        <w:spacing w:after="100"/>
      </w:pPr>
      <w:r w:rsidRPr="004855AD">
        <w:rPr>
          <w:rFonts w:ascii="Helvetica Neue" w:hAnsi="Helvetica Neue" w:cs="Helvetica Neue"/>
          <w:sz w:val="22"/>
          <w:szCs w:val="22"/>
        </w:rPr>
        <w:t>(</w:t>
      </w:r>
      <w:r w:rsidRPr="004855AD">
        <w:rPr>
          <w:rFonts w:ascii="Helvetica Neue" w:hAnsi="Helvetica Neue" w:cs="Helvetica Neue"/>
          <w:b/>
          <w:bCs/>
          <w:sz w:val="22"/>
          <w:szCs w:val="22"/>
        </w:rPr>
        <w:t>Pkt N.26.</w:t>
      </w:r>
      <w:r w:rsidRPr="004855AD">
        <w:rPr>
          <w:rFonts w:ascii="Helvetica Neue" w:hAnsi="Helvetica Neue" w:cs="Helvetica Neue"/>
          <w:sz w:val="22"/>
          <w:szCs w:val="22"/>
        </w:rPr>
        <w:t>) Czy Zamawiający dopuści kardiomonitor, wykonany w równoważnej technologii pięciopunktowego poziomu filtrowania, nie wymagającej zastosowania pięciu różnych trybów filtracji sygnału EKG w zależności od rodzaju wykonywanych badań MR, ponieważ zastosowana w oferowanym przez nas kardiomonitorze technologia filtrowania zapewnia specjalne przetwarzanie sygnału EKG zmniejszające wpływ gradientów MRI (nakładających się na EKG pacjenta) oraz ogranicza szerokość pasma EKG, w celu zredukowania efektów zniekształceń magneto-hydrodynamicznych wywołanych w polu magnetycznym, dzięki temu pozwala na optymalne zliczanie rytmu pracy serca?</w:t>
      </w:r>
    </w:p>
    <w:p w:rsidR="00A96582" w:rsidRDefault="00A96582" w:rsidP="00A96582">
      <w:pPr>
        <w:pStyle w:val="Normalny1"/>
        <w:numPr>
          <w:ilvl w:val="0"/>
          <w:numId w:val="16"/>
        </w:numPr>
        <w:spacing w:after="100"/>
      </w:pPr>
      <w:r>
        <w:rPr>
          <w:rFonts w:ascii="Helvetica Neue" w:hAnsi="Helvetica Neue" w:cs="Helvetica Neue"/>
          <w:sz w:val="22"/>
          <w:szCs w:val="22"/>
        </w:rPr>
        <w:lastRenderedPageBreak/>
        <w:t>(</w:t>
      </w:r>
      <w:r>
        <w:rPr>
          <w:rFonts w:ascii="Helvetica Neue" w:hAnsi="Helvetica Neue" w:cs="Helvetica Neue"/>
          <w:b/>
          <w:bCs/>
          <w:sz w:val="22"/>
          <w:szCs w:val="22"/>
        </w:rPr>
        <w:t>Pkt N.27.</w:t>
      </w:r>
      <w:r>
        <w:rPr>
          <w:rFonts w:ascii="Helvetica Neue" w:hAnsi="Helvetica Neue" w:cs="Helvetica Neue"/>
          <w:sz w:val="22"/>
          <w:szCs w:val="22"/>
        </w:rPr>
        <w:t>) Czy Zamawiający dopuści kardiomonitor, wykonany w równoważnej technologii pięciopunktowego poziomu filtrowania, nie wymagającej zastosowania funkcji tłumienia/zmniejszania amplitudy załamka T?</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N.30.</w:t>
      </w:r>
      <w:r>
        <w:rPr>
          <w:rFonts w:ascii="Helvetica Neue" w:hAnsi="Helvetica Neue" w:cs="Helvetica Neue"/>
          <w:sz w:val="22"/>
          <w:szCs w:val="22"/>
        </w:rPr>
        <w:t>) Czy Zamawiający dopuści kardiomonitor, wykonany w równoważnej technologii, nie wymagającej zastosowania pneumatycznego pomiaru czynności oddechowej o zakresie pomiaru czynności oddechowej od 3 do 120 oddechów na minutę?</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N.31.</w:t>
      </w:r>
      <w:r>
        <w:rPr>
          <w:rFonts w:ascii="Helvetica Neue" w:hAnsi="Helvetica Neue" w:cs="Helvetica Neue"/>
          <w:sz w:val="22"/>
          <w:szCs w:val="22"/>
        </w:rPr>
        <w:t>) Czy Zamawiający dopuści kardiomonitor, w którym wyniki pomiarów czynności oddechowej przesyłane są poprzez kaniulę do kardiomonitora i prezentowane są w formie liczbowej na ekranie monitora?</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N.33.</w:t>
      </w:r>
      <w:r>
        <w:rPr>
          <w:rFonts w:ascii="Helvetica Neue" w:hAnsi="Helvetica Neue" w:cs="Helvetica Neue"/>
          <w:sz w:val="22"/>
          <w:szCs w:val="22"/>
        </w:rPr>
        <w:t>) Czy Zamawiający dopuści kardiomonitor, w którym status/stan naładowania akumulatora modułu SpO</w:t>
      </w:r>
      <w:r>
        <w:rPr>
          <w:rFonts w:ascii="Helvetica Neue" w:hAnsi="Helvetica Neue" w:cs="Helvetica Neue"/>
          <w:sz w:val="22"/>
          <w:szCs w:val="22"/>
          <w:vertAlign w:val="subscript"/>
        </w:rPr>
        <w:t>2</w:t>
      </w:r>
      <w:r>
        <w:rPr>
          <w:rFonts w:ascii="Helvetica Neue" w:hAnsi="Helvetica Neue" w:cs="Helvetica Neue"/>
          <w:sz w:val="22"/>
          <w:szCs w:val="22"/>
        </w:rPr>
        <w:t xml:space="preserve"> prezentowany jest na ekranie kardiomonitora, rejestracja SpO</w:t>
      </w:r>
      <w:r>
        <w:rPr>
          <w:rFonts w:ascii="Helvetica Neue" w:hAnsi="Helvetica Neue" w:cs="Helvetica Neue"/>
          <w:sz w:val="22"/>
          <w:szCs w:val="22"/>
          <w:vertAlign w:val="subscript"/>
        </w:rPr>
        <w:t>2</w:t>
      </w:r>
      <w:r>
        <w:rPr>
          <w:rFonts w:ascii="Helvetica Neue" w:hAnsi="Helvetica Neue" w:cs="Helvetica Neue"/>
          <w:sz w:val="22"/>
          <w:szCs w:val="22"/>
        </w:rPr>
        <w:t xml:space="preserve"> dokonywana jest za pomocą bezprzewodowego modułu SpO</w:t>
      </w:r>
      <w:r>
        <w:rPr>
          <w:rFonts w:ascii="Helvetica Neue" w:hAnsi="Helvetica Neue" w:cs="Helvetica Neue"/>
          <w:sz w:val="22"/>
          <w:szCs w:val="22"/>
          <w:vertAlign w:val="subscript"/>
        </w:rPr>
        <w:t>2</w:t>
      </w:r>
      <w:r>
        <w:rPr>
          <w:rFonts w:ascii="Helvetica Neue" w:hAnsi="Helvetica Neue" w:cs="Helvetica Neue"/>
          <w:sz w:val="22"/>
          <w:szCs w:val="22"/>
        </w:rPr>
        <w:t xml:space="preserve"> zasilanego akumulatorowo, z akumulatorem doładowywanym w ładowarce umiejscowionej w kieszeni do przechowywania i zasilania modułu bezprzewodowego?</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N.34.</w:t>
      </w:r>
      <w:r>
        <w:rPr>
          <w:rFonts w:ascii="Helvetica Neue" w:hAnsi="Helvetica Neue" w:cs="Helvetica Neue"/>
          <w:sz w:val="22"/>
          <w:szCs w:val="22"/>
        </w:rPr>
        <w:t>) Czy Zamawiający dopuści kardiomonitor, wyposażony w bezprzewodowy moduł SpO</w:t>
      </w:r>
      <w:r>
        <w:rPr>
          <w:rFonts w:ascii="Helvetica Neue" w:hAnsi="Helvetica Neue" w:cs="Helvetica Neue"/>
          <w:sz w:val="22"/>
          <w:szCs w:val="22"/>
          <w:vertAlign w:val="subscript"/>
        </w:rPr>
        <w:t>2</w:t>
      </w:r>
      <w:r>
        <w:rPr>
          <w:rFonts w:ascii="Helvetica Neue" w:hAnsi="Helvetica Neue" w:cs="Helvetica Neue"/>
          <w:sz w:val="22"/>
          <w:szCs w:val="22"/>
        </w:rPr>
        <w:t xml:space="preserve">, w którym zastosowano technologię tłumienia artefaktów firmy </w:t>
      </w:r>
      <w:proofErr w:type="spellStart"/>
      <w:r>
        <w:rPr>
          <w:rFonts w:ascii="Helvetica Neue" w:hAnsi="Helvetica Neue" w:cs="Helvetica Neue"/>
          <w:sz w:val="22"/>
          <w:szCs w:val="22"/>
        </w:rPr>
        <w:t>Masimo</w:t>
      </w:r>
      <w:proofErr w:type="spellEnd"/>
      <w:r>
        <w:rPr>
          <w:rFonts w:ascii="Helvetica Neue" w:hAnsi="Helvetica Neue" w:cs="Helvetica Neue"/>
          <w:sz w:val="22"/>
          <w:szCs w:val="22"/>
        </w:rPr>
        <w:t>?</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N.36.</w:t>
      </w:r>
      <w:r>
        <w:rPr>
          <w:rFonts w:ascii="Helvetica Neue" w:hAnsi="Helvetica Neue" w:cs="Helvetica Neue"/>
          <w:sz w:val="22"/>
          <w:szCs w:val="22"/>
        </w:rPr>
        <w:t>) Czy Zamawiający dopuści kardiomonitor wyposażony w bezprzewodowy moduł SpO</w:t>
      </w:r>
      <w:r>
        <w:rPr>
          <w:rFonts w:ascii="Helvetica Neue" w:hAnsi="Helvetica Neue" w:cs="Helvetica Neue"/>
          <w:sz w:val="22"/>
          <w:szCs w:val="22"/>
          <w:vertAlign w:val="subscript"/>
        </w:rPr>
        <w:t>2</w:t>
      </w:r>
      <w:r>
        <w:rPr>
          <w:rFonts w:ascii="Helvetica Neue" w:hAnsi="Helvetica Neue" w:cs="Helvetica Neue"/>
          <w:sz w:val="22"/>
          <w:szCs w:val="22"/>
        </w:rPr>
        <w:t xml:space="preserve">, w którym zastosowano technologię tłumienia artefaktów firmy </w:t>
      </w:r>
      <w:proofErr w:type="spellStart"/>
      <w:r>
        <w:rPr>
          <w:rFonts w:ascii="Helvetica Neue" w:hAnsi="Helvetica Neue" w:cs="Helvetica Neue"/>
          <w:sz w:val="22"/>
          <w:szCs w:val="22"/>
        </w:rPr>
        <w:t>Masimo</w:t>
      </w:r>
      <w:proofErr w:type="spellEnd"/>
      <w:r>
        <w:rPr>
          <w:rFonts w:ascii="Helvetica Neue" w:hAnsi="Helvetica Neue" w:cs="Helvetica Neue"/>
          <w:sz w:val="22"/>
          <w:szCs w:val="22"/>
        </w:rPr>
        <w:t xml:space="preserve"> o zakresie pomiarowym tętna obwodowego od 30 do 240 </w:t>
      </w:r>
      <w:proofErr w:type="spellStart"/>
      <w:r>
        <w:rPr>
          <w:rFonts w:ascii="Helvetica Neue" w:hAnsi="Helvetica Neue" w:cs="Helvetica Neue"/>
          <w:sz w:val="22"/>
          <w:szCs w:val="22"/>
        </w:rPr>
        <w:t>bpm</w:t>
      </w:r>
      <w:proofErr w:type="spellEnd"/>
      <w:r>
        <w:rPr>
          <w:rFonts w:ascii="Helvetica Neue" w:hAnsi="Helvetica Neue" w:cs="Helvetica Neue"/>
          <w:sz w:val="22"/>
          <w:szCs w:val="22"/>
        </w:rPr>
        <w:t>?</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N.41.</w:t>
      </w:r>
      <w:r>
        <w:rPr>
          <w:rFonts w:ascii="Helvetica Neue" w:hAnsi="Helvetica Neue" w:cs="Helvetica Neue"/>
          <w:sz w:val="22"/>
          <w:szCs w:val="22"/>
        </w:rPr>
        <w:t>) Czy Zamawiający dopuści kardiomonitor, wyposażony w automatyczny pomiar NIBP, co określony czas, regulowany w następującym zakresie: 3, 5, 8, 10, 15, 30 min.?</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N.45.</w:t>
      </w:r>
      <w:r>
        <w:rPr>
          <w:rFonts w:ascii="Helvetica Neue" w:hAnsi="Helvetica Neue" w:cs="Helvetica Neue"/>
          <w:sz w:val="22"/>
          <w:szCs w:val="22"/>
        </w:rPr>
        <w:t>) Czy Zamawiający dopuści kardiomonitor, wyposażony w pomiar CO</w:t>
      </w:r>
      <w:r>
        <w:rPr>
          <w:rFonts w:ascii="Helvetica Neue" w:hAnsi="Helvetica Neue" w:cs="Helvetica Neue"/>
          <w:sz w:val="22"/>
          <w:szCs w:val="22"/>
          <w:vertAlign w:val="subscript"/>
        </w:rPr>
        <w:t>2</w:t>
      </w:r>
      <w:r>
        <w:rPr>
          <w:rFonts w:ascii="Helvetica Neue" w:hAnsi="Helvetica Neue" w:cs="Helvetica Neue"/>
          <w:sz w:val="22"/>
          <w:szCs w:val="22"/>
        </w:rPr>
        <w:t xml:space="preserve"> w strumieniu bocznym stężenia wdechowego CO</w:t>
      </w:r>
      <w:r>
        <w:rPr>
          <w:rFonts w:ascii="Helvetica Neue" w:hAnsi="Helvetica Neue" w:cs="Helvetica Neue"/>
          <w:sz w:val="22"/>
          <w:szCs w:val="22"/>
          <w:vertAlign w:val="subscript"/>
        </w:rPr>
        <w:t>2</w:t>
      </w:r>
      <w:r>
        <w:rPr>
          <w:rFonts w:ascii="Helvetica Neue" w:hAnsi="Helvetica Neue" w:cs="Helvetica Neue"/>
          <w:sz w:val="22"/>
          <w:szCs w:val="22"/>
        </w:rPr>
        <w:t xml:space="preserve"> (FiCO</w:t>
      </w:r>
      <w:r>
        <w:rPr>
          <w:rFonts w:ascii="Helvetica Neue" w:hAnsi="Helvetica Neue" w:cs="Helvetica Neue"/>
          <w:sz w:val="22"/>
          <w:szCs w:val="22"/>
          <w:vertAlign w:val="subscript"/>
        </w:rPr>
        <w:t>2</w:t>
      </w:r>
      <w:r>
        <w:rPr>
          <w:rFonts w:ascii="Helvetica Neue" w:hAnsi="Helvetica Neue" w:cs="Helvetica Neue"/>
          <w:sz w:val="22"/>
          <w:szCs w:val="22"/>
        </w:rPr>
        <w:t>) o zakresie pomiarowym od 3 do 25 mmHg?</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N.46.</w:t>
      </w:r>
      <w:r>
        <w:rPr>
          <w:rFonts w:ascii="Helvetica Neue" w:hAnsi="Helvetica Neue" w:cs="Helvetica Neue"/>
          <w:sz w:val="22"/>
          <w:szCs w:val="22"/>
        </w:rPr>
        <w:t>) Czy Zamawiający dopuści kardiomonitor, wyposażony w pomiar CO</w:t>
      </w:r>
      <w:r>
        <w:rPr>
          <w:rFonts w:ascii="Helvetica Neue" w:hAnsi="Helvetica Neue" w:cs="Helvetica Neue"/>
          <w:sz w:val="22"/>
          <w:szCs w:val="22"/>
          <w:vertAlign w:val="subscript"/>
        </w:rPr>
        <w:t>2</w:t>
      </w:r>
      <w:r>
        <w:rPr>
          <w:rFonts w:ascii="Helvetica Neue" w:hAnsi="Helvetica Neue" w:cs="Helvetica Neue"/>
          <w:sz w:val="22"/>
          <w:szCs w:val="22"/>
        </w:rPr>
        <w:t xml:space="preserve"> w strumieniu bocznym stężenia końcowo-wydechowego CO</w:t>
      </w:r>
      <w:r>
        <w:rPr>
          <w:rFonts w:ascii="Helvetica Neue" w:hAnsi="Helvetica Neue" w:cs="Helvetica Neue"/>
          <w:sz w:val="22"/>
          <w:szCs w:val="22"/>
          <w:vertAlign w:val="subscript"/>
        </w:rPr>
        <w:t>2</w:t>
      </w:r>
      <w:r>
        <w:rPr>
          <w:rFonts w:ascii="Helvetica Neue" w:hAnsi="Helvetica Neue" w:cs="Helvetica Neue"/>
          <w:sz w:val="22"/>
          <w:szCs w:val="22"/>
        </w:rPr>
        <w:t xml:space="preserve"> (EtCO</w:t>
      </w:r>
      <w:r>
        <w:rPr>
          <w:rFonts w:ascii="Helvetica Neue" w:hAnsi="Helvetica Neue" w:cs="Helvetica Neue"/>
          <w:sz w:val="22"/>
          <w:szCs w:val="22"/>
          <w:vertAlign w:val="subscript"/>
        </w:rPr>
        <w:t>2</w:t>
      </w:r>
      <w:r>
        <w:rPr>
          <w:rFonts w:ascii="Helvetica Neue" w:hAnsi="Helvetica Neue" w:cs="Helvetica Neue"/>
          <w:sz w:val="22"/>
          <w:szCs w:val="22"/>
        </w:rPr>
        <w:t>) o zakresie pomiarowym od 5 do 80 mmHg?</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N.50.</w:t>
      </w:r>
      <w:r>
        <w:rPr>
          <w:rFonts w:ascii="Helvetica Neue" w:hAnsi="Helvetica Neue" w:cs="Helvetica Neue"/>
          <w:sz w:val="22"/>
          <w:szCs w:val="22"/>
        </w:rPr>
        <w:t>) Czy Zamawiający dopuści kardiomonitor, wykonany w równoważnej technologii nie wymagającej opisanej przez Zamawiającego akumulatora podstawy jezdnej, ponieważ oferowany przez nas kardiomonitor posiada akumulator znajdujący się w specjalnej przystosowanej do akumulatora kieszeni wbudowanej w konstrukcję kardiomonitora?</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N.51.</w:t>
      </w:r>
      <w:r>
        <w:rPr>
          <w:rFonts w:ascii="Helvetica Neue" w:hAnsi="Helvetica Neue" w:cs="Helvetica Neue"/>
          <w:sz w:val="22"/>
          <w:szCs w:val="22"/>
        </w:rPr>
        <w:t>) Czy Zamawiający dopuści kardiomonitor, wykonany w równoważnej technologii nie wymagającej opisanej przez Zamawiającego ładowarki akumulatorów bezprzewodowych, ponieważ oferowany przez nas kardiomonitor posiada specjalne kieszenie służące do przechowywania i zasilania modułu bezprzewodowego?</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N.52.</w:t>
      </w:r>
      <w:r>
        <w:rPr>
          <w:rFonts w:ascii="Helvetica Neue" w:hAnsi="Helvetica Neue" w:cs="Helvetica Neue"/>
          <w:sz w:val="22"/>
          <w:szCs w:val="22"/>
        </w:rPr>
        <w:t>) Czy Zamawiający dopuści kardiomonitor, wykonany w równoważnej technologii nie wymagającej dostarczenia opisanych przez Zamawiającego akumulatorów bezprzewodowych modułów, ponieważ oferowane przez nas bezprzewodowe moduły pomiarowe EKG i SpO</w:t>
      </w:r>
      <w:r>
        <w:rPr>
          <w:rFonts w:ascii="Helvetica Neue" w:hAnsi="Helvetica Neue" w:cs="Helvetica Neue"/>
          <w:sz w:val="22"/>
          <w:szCs w:val="22"/>
          <w:vertAlign w:val="subscript"/>
        </w:rPr>
        <w:t>2</w:t>
      </w:r>
      <w:r>
        <w:rPr>
          <w:rFonts w:ascii="Helvetica Neue" w:hAnsi="Helvetica Neue" w:cs="Helvetica Neue"/>
          <w:sz w:val="22"/>
          <w:szCs w:val="22"/>
        </w:rPr>
        <w:t xml:space="preserve"> posiadają wbudowane akumulatory o długiej żywotności, zapewniające ponad 12 godzinną pracę przy w pełni naładowanym akumulatorze?</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N.63.</w:t>
      </w:r>
      <w:r>
        <w:rPr>
          <w:rFonts w:ascii="Helvetica Neue" w:hAnsi="Helvetica Neue" w:cs="Helvetica Neue"/>
          <w:sz w:val="22"/>
          <w:szCs w:val="22"/>
        </w:rPr>
        <w:t xml:space="preserve">) Czy Zamawiający dopuści kardiomonitor, wykonany w równoważnej technologii, która nie wymaga stosowania miechu </w:t>
      </w:r>
      <w:proofErr w:type="spellStart"/>
      <w:r>
        <w:rPr>
          <w:rFonts w:ascii="Helvetica Neue" w:hAnsi="Helvetica Neue" w:cs="Helvetica Neue"/>
          <w:sz w:val="22"/>
          <w:szCs w:val="22"/>
        </w:rPr>
        <w:t>tarokalnego</w:t>
      </w:r>
      <w:proofErr w:type="spellEnd"/>
      <w:r>
        <w:rPr>
          <w:rFonts w:ascii="Helvetica Neue" w:hAnsi="Helvetica Neue" w:cs="Helvetica Neue"/>
          <w:sz w:val="22"/>
          <w:szCs w:val="22"/>
        </w:rPr>
        <w:t xml:space="preserve"> do pomiaru liczby oddechów?</w:t>
      </w:r>
    </w:p>
    <w:p w:rsidR="00A96582" w:rsidRDefault="00A96582" w:rsidP="00A96582">
      <w:pPr>
        <w:pStyle w:val="Normalny1"/>
        <w:numPr>
          <w:ilvl w:val="0"/>
          <w:numId w:val="16"/>
        </w:numPr>
        <w:spacing w:after="100"/>
      </w:pPr>
      <w:r>
        <w:rPr>
          <w:rFonts w:ascii="Helvetica Neue" w:hAnsi="Helvetica Neue" w:cs="Helvetica Neue"/>
          <w:sz w:val="22"/>
          <w:szCs w:val="22"/>
        </w:rPr>
        <w:t>(</w:t>
      </w:r>
      <w:r>
        <w:rPr>
          <w:rFonts w:ascii="Helvetica Neue" w:hAnsi="Helvetica Neue" w:cs="Helvetica Neue"/>
          <w:b/>
          <w:bCs/>
          <w:sz w:val="22"/>
          <w:szCs w:val="22"/>
        </w:rPr>
        <w:t>Pkt N.70.</w:t>
      </w:r>
      <w:r>
        <w:rPr>
          <w:rFonts w:ascii="Helvetica Neue" w:hAnsi="Helvetica Neue" w:cs="Helvetica Neue"/>
          <w:sz w:val="22"/>
          <w:szCs w:val="22"/>
        </w:rPr>
        <w:t xml:space="preserve">) Czy Zamawiający dopuści kardiomonitor, wykonany w równoważnej technologii, w której </w:t>
      </w:r>
      <w:proofErr w:type="spellStart"/>
      <w:r>
        <w:rPr>
          <w:rFonts w:ascii="Helvetica Neue" w:hAnsi="Helvetica Neue" w:cs="Helvetica Neue"/>
          <w:sz w:val="22"/>
          <w:szCs w:val="22"/>
        </w:rPr>
        <w:t>upgrade</w:t>
      </w:r>
      <w:proofErr w:type="spellEnd"/>
      <w:r>
        <w:rPr>
          <w:rFonts w:ascii="Helvetica Neue" w:hAnsi="Helvetica Neue" w:cs="Helvetica Neue"/>
          <w:sz w:val="22"/>
          <w:szCs w:val="22"/>
        </w:rPr>
        <w:t xml:space="preserve"> oprogramowania jest dokonywany przez kartę SD?</w:t>
      </w:r>
    </w:p>
    <w:p w:rsidR="00A96582" w:rsidRPr="00817C3E" w:rsidRDefault="00A96582" w:rsidP="00A96582">
      <w:pPr>
        <w:rPr>
          <w:lang w:bidi="hi-IN"/>
        </w:rPr>
      </w:pPr>
    </w:p>
    <w:p w:rsidR="00A96582" w:rsidRPr="00817C3E" w:rsidRDefault="00A96582" w:rsidP="00A96582">
      <w:pPr>
        <w:rPr>
          <w:lang w:bidi="hi-IN"/>
        </w:rPr>
      </w:pPr>
    </w:p>
    <w:p w:rsidR="00A96582" w:rsidRDefault="00A96582" w:rsidP="00A96582">
      <w:pPr>
        <w:pStyle w:val="Normalny1"/>
      </w:pPr>
      <w:r>
        <w:rPr>
          <w:rFonts w:ascii="Helvetica Neue" w:hAnsi="Helvetica Neue" w:cs="Helvetica Neue"/>
          <w:b/>
          <w:bCs/>
          <w:sz w:val="22"/>
          <w:szCs w:val="22"/>
        </w:rPr>
        <w:t>O. Stacja pomp infuzyjnych do współpracy z MR</w:t>
      </w:r>
    </w:p>
    <w:p w:rsidR="00A96582" w:rsidRDefault="00A96582" w:rsidP="00A96582">
      <w:pPr>
        <w:pStyle w:val="Normalny1"/>
        <w:rPr>
          <w:rFonts w:ascii="Helvetica Neue" w:eastAsia="Helvetica Neue" w:hAnsi="Helvetica Neue" w:cs="Helvetica Neue"/>
          <w:b/>
          <w:bCs/>
          <w:sz w:val="22"/>
          <w:szCs w:val="22"/>
        </w:rPr>
      </w:pPr>
    </w:p>
    <w:p w:rsidR="00A96582" w:rsidRDefault="00A96582" w:rsidP="00A96582">
      <w:pPr>
        <w:pStyle w:val="Normalny1"/>
        <w:numPr>
          <w:ilvl w:val="0"/>
          <w:numId w:val="17"/>
        </w:numPr>
        <w:spacing w:after="100"/>
      </w:pPr>
      <w:r>
        <w:rPr>
          <w:rFonts w:ascii="Helvetica Neue" w:hAnsi="Helvetica Neue" w:cs="Helvetica Neue"/>
          <w:sz w:val="22"/>
          <w:szCs w:val="22"/>
        </w:rPr>
        <w:t>(</w:t>
      </w:r>
      <w:r>
        <w:rPr>
          <w:rFonts w:ascii="Helvetica Neue" w:hAnsi="Helvetica Neue" w:cs="Helvetica Neue"/>
          <w:b/>
          <w:bCs/>
          <w:sz w:val="22"/>
          <w:szCs w:val="22"/>
        </w:rPr>
        <w:t>Pkt O.3.</w:t>
      </w:r>
      <w:r>
        <w:rPr>
          <w:rFonts w:ascii="Helvetica Neue" w:hAnsi="Helvetica Neue" w:cs="Helvetica Neue"/>
          <w:sz w:val="22"/>
          <w:szCs w:val="22"/>
        </w:rPr>
        <w:t>) Czy Zamawiający dopuści stację pomp infuzyjnych do współpracy z MR, wykonaną w równoważnej technologii nie wymagającej ekranowanej obudowy aluminiowej (RAL 9002)?</w:t>
      </w:r>
    </w:p>
    <w:p w:rsidR="00A96582" w:rsidRDefault="00A96582" w:rsidP="00A96582">
      <w:pPr>
        <w:pStyle w:val="Normalny1"/>
        <w:numPr>
          <w:ilvl w:val="0"/>
          <w:numId w:val="17"/>
        </w:numPr>
        <w:spacing w:after="100"/>
      </w:pPr>
      <w:r>
        <w:rPr>
          <w:rFonts w:ascii="Helvetica Neue" w:hAnsi="Helvetica Neue" w:cs="Helvetica Neue"/>
          <w:sz w:val="22"/>
          <w:szCs w:val="22"/>
        </w:rPr>
        <w:lastRenderedPageBreak/>
        <w:t>(</w:t>
      </w:r>
      <w:r>
        <w:rPr>
          <w:rFonts w:ascii="Helvetica Neue" w:hAnsi="Helvetica Neue" w:cs="Helvetica Neue"/>
          <w:b/>
          <w:bCs/>
          <w:sz w:val="22"/>
          <w:szCs w:val="22"/>
        </w:rPr>
        <w:t>Pkt O.4.</w:t>
      </w:r>
      <w:r>
        <w:rPr>
          <w:rFonts w:ascii="Helvetica Neue" w:hAnsi="Helvetica Neue" w:cs="Helvetica Neue"/>
          <w:sz w:val="22"/>
          <w:szCs w:val="22"/>
        </w:rPr>
        <w:t>) Czy Zamawiający dopuści stację pomp infuzyjnych do współpracy z MR o wymiarach 152 x 203 x 229 ± 2 [mm]?</w:t>
      </w:r>
    </w:p>
    <w:p w:rsidR="00A96582" w:rsidRDefault="00A96582" w:rsidP="00A96582">
      <w:pPr>
        <w:pStyle w:val="Normalny1"/>
        <w:numPr>
          <w:ilvl w:val="0"/>
          <w:numId w:val="17"/>
        </w:numPr>
        <w:spacing w:after="100"/>
      </w:pPr>
      <w:r>
        <w:rPr>
          <w:rFonts w:ascii="Helvetica Neue" w:hAnsi="Helvetica Neue" w:cs="Helvetica Neue"/>
          <w:sz w:val="22"/>
          <w:szCs w:val="22"/>
        </w:rPr>
        <w:t>(</w:t>
      </w:r>
      <w:r>
        <w:rPr>
          <w:rFonts w:ascii="Helvetica Neue" w:hAnsi="Helvetica Neue" w:cs="Helvetica Neue"/>
          <w:b/>
          <w:bCs/>
          <w:sz w:val="22"/>
          <w:szCs w:val="22"/>
        </w:rPr>
        <w:t>Pkt O.5.</w:t>
      </w:r>
      <w:r>
        <w:rPr>
          <w:rFonts w:ascii="Helvetica Neue" w:hAnsi="Helvetica Neue" w:cs="Helvetica Neue"/>
          <w:sz w:val="22"/>
          <w:szCs w:val="22"/>
        </w:rPr>
        <w:t>) Czy Zamawiający dopuści stację pomp infuzyjnych do współpracy z MR, wykonaną w równoważnej technologii nie wymagającej instalacji na wózku?</w:t>
      </w:r>
    </w:p>
    <w:p w:rsidR="00A96582" w:rsidRDefault="00A96582" w:rsidP="00A96582">
      <w:pPr>
        <w:pStyle w:val="Normalny1"/>
        <w:numPr>
          <w:ilvl w:val="0"/>
          <w:numId w:val="17"/>
        </w:numPr>
        <w:spacing w:after="100"/>
      </w:pPr>
      <w:r>
        <w:rPr>
          <w:rFonts w:ascii="Helvetica Neue" w:hAnsi="Helvetica Neue" w:cs="Helvetica Neue"/>
          <w:sz w:val="22"/>
          <w:szCs w:val="22"/>
        </w:rPr>
        <w:t>(</w:t>
      </w:r>
      <w:r>
        <w:rPr>
          <w:rFonts w:ascii="Helvetica Neue" w:hAnsi="Helvetica Neue" w:cs="Helvetica Neue"/>
          <w:b/>
          <w:bCs/>
          <w:sz w:val="22"/>
          <w:szCs w:val="22"/>
        </w:rPr>
        <w:t>Pkt O.6.</w:t>
      </w:r>
      <w:r>
        <w:rPr>
          <w:rFonts w:ascii="Helvetica Neue" w:hAnsi="Helvetica Neue" w:cs="Helvetica Neue"/>
          <w:sz w:val="22"/>
          <w:szCs w:val="22"/>
        </w:rPr>
        <w:t>) Czy Zamawiający dopuści stację pomp infuzyjnych do współpracy z MR o wadze wynoszącej 5,2 [kg] z akumulatorem?</w:t>
      </w:r>
    </w:p>
    <w:p w:rsidR="00A96582" w:rsidRDefault="00A96582" w:rsidP="00A96582">
      <w:pPr>
        <w:pStyle w:val="Normalny1"/>
        <w:numPr>
          <w:ilvl w:val="0"/>
          <w:numId w:val="17"/>
        </w:numPr>
        <w:spacing w:after="100"/>
      </w:pPr>
      <w:r>
        <w:rPr>
          <w:rFonts w:ascii="Helvetica Neue" w:hAnsi="Helvetica Neue" w:cs="Helvetica Neue"/>
          <w:b/>
          <w:bCs/>
          <w:sz w:val="22"/>
          <w:szCs w:val="22"/>
        </w:rPr>
        <w:t>(</w:t>
      </w:r>
      <w:r>
        <w:rPr>
          <w:rFonts w:ascii="Helvetica Neue" w:hAnsi="Helvetica Neue" w:cs="Helvetica Neue"/>
          <w:sz w:val="22"/>
          <w:szCs w:val="22"/>
        </w:rPr>
        <w:t>Pkt O.7.</w:t>
      </w:r>
      <w:r>
        <w:t>) Czy Zamawiający dopuści stację pomp infuzyjnych do współpracy z MR, wykonaną w równoważnej technologii w skład której wchodzi paramagnetyczna pompa infuzyjna przystosowana do podaży leków przy zastosowaniu standardowych strzykaw</w:t>
      </w:r>
      <w:r>
        <w:rPr>
          <w:rFonts w:ascii="Helvetica Neue" w:hAnsi="Helvetica Neue" w:cs="Helvetica Neue"/>
          <w:sz w:val="22"/>
          <w:szCs w:val="22"/>
        </w:rPr>
        <w:t xml:space="preserve">ek typu </w:t>
      </w:r>
      <w:proofErr w:type="spellStart"/>
      <w:r>
        <w:rPr>
          <w:rFonts w:ascii="Helvetica Neue" w:hAnsi="Helvetica Neue" w:cs="Helvetica Neue"/>
          <w:sz w:val="22"/>
          <w:szCs w:val="22"/>
        </w:rPr>
        <w:t>luer</w:t>
      </w:r>
      <w:proofErr w:type="spellEnd"/>
      <w:r>
        <w:rPr>
          <w:rFonts w:ascii="Helvetica Neue" w:hAnsi="Helvetica Neue" w:cs="Helvetica Neue"/>
          <w:sz w:val="22"/>
          <w:szCs w:val="22"/>
        </w:rPr>
        <w:t xml:space="preserve"> lock i butelek lub worków z płynami infuzyjnymi?</w:t>
      </w:r>
    </w:p>
    <w:p w:rsidR="00A96582" w:rsidRDefault="00A96582" w:rsidP="00A96582">
      <w:pPr>
        <w:pStyle w:val="Normalny1"/>
        <w:numPr>
          <w:ilvl w:val="0"/>
          <w:numId w:val="17"/>
        </w:numPr>
        <w:spacing w:after="100"/>
      </w:pPr>
      <w:r>
        <w:rPr>
          <w:rFonts w:ascii="Helvetica Neue" w:hAnsi="Helvetica Neue" w:cs="Helvetica Neue"/>
          <w:sz w:val="22"/>
          <w:szCs w:val="22"/>
        </w:rPr>
        <w:t>(</w:t>
      </w:r>
      <w:r>
        <w:rPr>
          <w:rFonts w:ascii="Helvetica Neue" w:hAnsi="Helvetica Neue" w:cs="Helvetica Neue"/>
          <w:b/>
          <w:bCs/>
          <w:sz w:val="22"/>
          <w:szCs w:val="22"/>
        </w:rPr>
        <w:t>Pkt O.9.</w:t>
      </w:r>
      <w:r>
        <w:rPr>
          <w:rFonts w:ascii="Helvetica Neue" w:hAnsi="Helvetica Neue" w:cs="Helvetica Neue"/>
          <w:sz w:val="22"/>
          <w:szCs w:val="22"/>
        </w:rPr>
        <w:t>) Czy Zamawiający dopuści stację pomp infuzyjnych o ochronności obudowy IPX1?</w:t>
      </w:r>
    </w:p>
    <w:p w:rsidR="00A96582" w:rsidRDefault="00A96582" w:rsidP="00A96582">
      <w:pPr>
        <w:pStyle w:val="Normalny1"/>
        <w:numPr>
          <w:ilvl w:val="0"/>
          <w:numId w:val="17"/>
        </w:numPr>
        <w:spacing w:after="100"/>
      </w:pPr>
      <w:r>
        <w:rPr>
          <w:rFonts w:ascii="Helvetica Neue" w:hAnsi="Helvetica Neue" w:cs="Helvetica Neue"/>
          <w:sz w:val="22"/>
          <w:szCs w:val="22"/>
        </w:rPr>
        <w:t>(</w:t>
      </w:r>
      <w:r>
        <w:rPr>
          <w:rFonts w:ascii="Helvetica Neue" w:hAnsi="Helvetica Neue" w:cs="Helvetica Neue"/>
          <w:b/>
          <w:bCs/>
          <w:sz w:val="22"/>
          <w:szCs w:val="22"/>
        </w:rPr>
        <w:t>Pkt O.11.</w:t>
      </w:r>
      <w:r>
        <w:rPr>
          <w:rFonts w:ascii="Helvetica Neue" w:hAnsi="Helvetica Neue" w:cs="Helvetica Neue"/>
          <w:sz w:val="22"/>
          <w:szCs w:val="22"/>
        </w:rPr>
        <w:t xml:space="preserve">) Czy Zamawiający dopuści stację pomp infuzyjnych do współpracy z MR, wykonaną w równoważnej technologii wymagającą następujących warunków zasilania: od 100 do 240 VAC +/-10%, 50/60 </w:t>
      </w:r>
      <w:proofErr w:type="spellStart"/>
      <w:r>
        <w:rPr>
          <w:rFonts w:ascii="Helvetica Neue" w:hAnsi="Helvetica Neue" w:cs="Helvetica Neue"/>
          <w:sz w:val="22"/>
          <w:szCs w:val="22"/>
        </w:rPr>
        <w:t>Hz</w:t>
      </w:r>
      <w:proofErr w:type="spellEnd"/>
      <w:r>
        <w:rPr>
          <w:rFonts w:ascii="Helvetica Neue" w:hAnsi="Helvetica Neue" w:cs="Helvetica Neue"/>
          <w:sz w:val="22"/>
          <w:szCs w:val="22"/>
        </w:rPr>
        <w:t>?</w:t>
      </w:r>
    </w:p>
    <w:p w:rsidR="00A96582" w:rsidRPr="0002419A" w:rsidRDefault="00A96582" w:rsidP="00A96582">
      <w:pPr>
        <w:pStyle w:val="Normalny1"/>
        <w:numPr>
          <w:ilvl w:val="0"/>
          <w:numId w:val="17"/>
        </w:numPr>
        <w:spacing w:after="100"/>
      </w:pPr>
      <w:r>
        <w:rPr>
          <w:rFonts w:ascii="Helvetica Neue" w:hAnsi="Helvetica Neue" w:cs="Helvetica Neue"/>
          <w:sz w:val="22"/>
          <w:szCs w:val="22"/>
        </w:rPr>
        <w:t>(</w:t>
      </w:r>
      <w:r>
        <w:rPr>
          <w:rFonts w:ascii="Helvetica Neue" w:hAnsi="Helvetica Neue" w:cs="Helvetica Neue"/>
          <w:b/>
          <w:bCs/>
          <w:sz w:val="22"/>
          <w:szCs w:val="22"/>
        </w:rPr>
        <w:t>Pkt O.</w:t>
      </w:r>
      <w:r>
        <w:rPr>
          <w:rFonts w:ascii="Helvetica Neue" w:hAnsi="Helvetica Neue" w:cs="Helvetica Neue"/>
          <w:sz w:val="22"/>
          <w:szCs w:val="22"/>
        </w:rPr>
        <w:t xml:space="preserve">) Czy Zamawiający, w związku z </w:t>
      </w:r>
      <w:proofErr w:type="spellStart"/>
      <w:r>
        <w:rPr>
          <w:rFonts w:ascii="Helvetica Neue" w:hAnsi="Helvetica Neue" w:cs="Helvetica Neue"/>
          <w:sz w:val="22"/>
          <w:szCs w:val="22"/>
        </w:rPr>
        <w:t>zapewniem</w:t>
      </w:r>
      <w:proofErr w:type="spellEnd"/>
      <w:r>
        <w:rPr>
          <w:rFonts w:ascii="Helvetica Neue" w:hAnsi="Helvetica Neue" w:cs="Helvetica Neue"/>
          <w:sz w:val="22"/>
          <w:szCs w:val="22"/>
        </w:rPr>
        <w:t xml:space="preserve"> najwyższego stopnia bezpieczeństwa dla pacjentów oraz bezpieczeństwa magnetycznego wprowadzi wymóg, aby stacja pomp infuzyjnych do współpracy z MR była wyposażona w pilot zdalnego sterowania, który zapewnia pełną funkcjonalność obsługi stacji pomp infuzyjnych (m.in. zmiana prędkości podaży leku, wstrzymanie infuzji, podanie </w:t>
      </w:r>
      <w:proofErr w:type="spellStart"/>
      <w:r>
        <w:rPr>
          <w:rFonts w:ascii="Helvetica Neue" w:hAnsi="Helvetica Neue" w:cs="Helvetica Neue"/>
          <w:sz w:val="22"/>
          <w:szCs w:val="22"/>
        </w:rPr>
        <w:t>bolusu</w:t>
      </w:r>
      <w:proofErr w:type="spellEnd"/>
      <w:r>
        <w:rPr>
          <w:rFonts w:ascii="Helvetica Neue" w:hAnsi="Helvetica Neue" w:cs="Helvetica Neue"/>
          <w:sz w:val="22"/>
          <w:szCs w:val="22"/>
        </w:rPr>
        <w:t>) bez konieczności przerywania badania z pomieszczenia technika (połączenie pomiędzy stacją a pilotem drogą bezprzewodową)?</w:t>
      </w:r>
    </w:p>
    <w:p w:rsidR="0002419A" w:rsidRPr="0002419A" w:rsidRDefault="0002419A" w:rsidP="0002419A">
      <w:pPr>
        <w:pStyle w:val="Normalny1"/>
        <w:spacing w:after="100"/>
        <w:ind w:left="567"/>
      </w:pPr>
    </w:p>
    <w:p w:rsidR="0002419A" w:rsidRPr="0002419A" w:rsidRDefault="0002419A" w:rsidP="0002419A">
      <w:pPr>
        <w:pStyle w:val="Normalny1"/>
        <w:spacing w:after="100"/>
        <w:rPr>
          <w:rFonts w:ascii="Arial" w:hAnsi="Arial" w:cs="Arial"/>
          <w:b/>
          <w:u w:val="single"/>
        </w:rPr>
      </w:pPr>
      <w:r w:rsidRPr="0002419A">
        <w:rPr>
          <w:rFonts w:ascii="Arial" w:hAnsi="Arial" w:cs="Arial"/>
          <w:b/>
          <w:u w:val="single"/>
        </w:rPr>
        <w:t>Zapytania nr 8 z dnia 13.06.2018</w:t>
      </w:r>
    </w:p>
    <w:p w:rsidR="00B43B1A" w:rsidRDefault="00B43B1A">
      <w:pPr>
        <w:rPr>
          <w:rFonts w:ascii="Arial" w:hAnsi="Arial" w:cs="Arial"/>
          <w:b/>
        </w:rPr>
      </w:pPr>
    </w:p>
    <w:p w:rsidR="0002419A" w:rsidRPr="0002419A" w:rsidRDefault="0002419A" w:rsidP="0002419A">
      <w:pPr>
        <w:rPr>
          <w:rFonts w:ascii="Arial" w:hAnsi="Arial" w:cs="Arial"/>
          <w:b/>
        </w:rPr>
      </w:pPr>
      <w:r w:rsidRPr="0002419A">
        <w:rPr>
          <w:rFonts w:ascii="Arial" w:hAnsi="Arial" w:cs="Arial"/>
          <w:b/>
        </w:rPr>
        <w:t>Pytanie 1</w:t>
      </w:r>
    </w:p>
    <w:p w:rsidR="0002419A" w:rsidRPr="0002419A" w:rsidRDefault="0002419A" w:rsidP="0002419A">
      <w:pPr>
        <w:jc w:val="both"/>
        <w:rPr>
          <w:rFonts w:ascii="Arial" w:hAnsi="Arial" w:cs="Arial"/>
        </w:rPr>
      </w:pPr>
      <w:r w:rsidRPr="0002419A">
        <w:rPr>
          <w:rFonts w:ascii="Arial" w:hAnsi="Arial" w:cs="Arial"/>
        </w:rPr>
        <w:t>Pragniemy zwrócić uwagę Zamawiającego, iż pytaniem zadanym w Zapytaniu nr 5 z dnia 11.06.2018, pytanie nr 2, dotyczącym punktu 4 tabeli opisu tomografu komputerowego dedykowanego do planowania radioterapii, Zamawiający został wprowadzony w błąd, że jakoby procedury wzorcowe Ministerstwa Zdrowia zabraniają stosowania w akwizycji nakładających się warstw. Pragniemy zwrócić uwagę, iż procedury wzorcowe Ministerstwa Zdrowia odnoszą się do nie nakładania się warstw podczas akwizycji w skutek doboru skoku stołu pacjenta (</w:t>
      </w:r>
      <w:proofErr w:type="spellStart"/>
      <w:r w:rsidRPr="0002419A">
        <w:rPr>
          <w:rFonts w:ascii="Arial" w:hAnsi="Arial" w:cs="Arial"/>
        </w:rPr>
        <w:t>wsp</w:t>
      </w:r>
      <w:proofErr w:type="spellEnd"/>
      <w:r w:rsidRPr="0002419A">
        <w:rPr>
          <w:rFonts w:ascii="Arial" w:hAnsi="Arial" w:cs="Arial"/>
        </w:rPr>
        <w:t>. Pitch). Wymóg ten nie dotyczy stosowanych w tomografii komputerowej technologii akwizycji danych obrazowych, w tym stosowanej od wielu lat przez Siemens Healthcare technologii z-Sharp. Gdyby tak było, eliminowało by to z rynku ponad sto działających systemów TK do diagnostyki, kilkunastu systemów do planowania radioterapii oraz licznej grupy aparatów PET/CT .</w:t>
      </w:r>
    </w:p>
    <w:p w:rsidR="0002419A" w:rsidRPr="0002419A" w:rsidRDefault="0002419A" w:rsidP="0002419A">
      <w:pPr>
        <w:jc w:val="both"/>
        <w:rPr>
          <w:rFonts w:ascii="Arial" w:hAnsi="Arial" w:cs="Arial"/>
        </w:rPr>
      </w:pPr>
      <w:r w:rsidRPr="0002419A">
        <w:rPr>
          <w:rFonts w:ascii="Arial" w:hAnsi="Arial" w:cs="Arial"/>
        </w:rPr>
        <w:t xml:space="preserve"> W związku z powyższym prosimy o potwierdzenie, że Zamawiający utrzymuje dotychczasowe zapisy SIWZ niewykluczające żadnego z dostawców i tym samym nie wprowadza modyfikacji, o które wnioskował Wykonawca we wskazanym pytaniu.</w:t>
      </w:r>
    </w:p>
    <w:p w:rsidR="0002419A" w:rsidRPr="0002419A" w:rsidRDefault="0002419A" w:rsidP="0002419A">
      <w:pPr>
        <w:rPr>
          <w:rFonts w:ascii="Arial" w:hAnsi="Arial" w:cs="Arial"/>
          <w:b/>
        </w:rPr>
      </w:pPr>
    </w:p>
    <w:p w:rsidR="0002419A" w:rsidRPr="0002419A" w:rsidRDefault="0002419A" w:rsidP="0002419A">
      <w:pPr>
        <w:rPr>
          <w:rFonts w:ascii="Arial" w:hAnsi="Arial" w:cs="Arial"/>
          <w:b/>
        </w:rPr>
      </w:pPr>
      <w:r w:rsidRPr="0002419A">
        <w:rPr>
          <w:rFonts w:ascii="Arial" w:hAnsi="Arial" w:cs="Arial"/>
          <w:b/>
        </w:rPr>
        <w:t>Pytanie 2</w:t>
      </w:r>
    </w:p>
    <w:p w:rsidR="0002419A" w:rsidRPr="0002419A" w:rsidRDefault="0002419A" w:rsidP="0002419A">
      <w:pPr>
        <w:jc w:val="both"/>
        <w:rPr>
          <w:rFonts w:ascii="Arial" w:hAnsi="Arial" w:cs="Arial"/>
        </w:rPr>
      </w:pPr>
      <w:r w:rsidRPr="0002419A">
        <w:rPr>
          <w:rFonts w:ascii="Arial" w:hAnsi="Arial" w:cs="Arial"/>
        </w:rPr>
        <w:t xml:space="preserve">Odnosząc się do zapytania nr 5 do pytań o numerach: 21-28 oraz 38,44 zadanych w dniu 11.06.2018  pragniemy podkreślić, że wiodący producenci skanerów PET/CT posiadają w swojej ofercie skanery PET z kryształami lutetowymi, z technologią TOF wyposażone w  64-warstwowe skanery TK – spełniające punkty tabeli SIWZ do których odnoszą się wskazane pytania. Są to m.in. skanery </w:t>
      </w:r>
      <w:proofErr w:type="spellStart"/>
      <w:r w:rsidRPr="0002419A">
        <w:rPr>
          <w:rFonts w:ascii="Arial" w:hAnsi="Arial" w:cs="Arial"/>
        </w:rPr>
        <w:t>Biograph</w:t>
      </w:r>
      <w:proofErr w:type="spellEnd"/>
      <w:r w:rsidRPr="0002419A">
        <w:rPr>
          <w:rFonts w:ascii="Arial" w:hAnsi="Arial" w:cs="Arial"/>
        </w:rPr>
        <w:t xml:space="preserve"> mCT64 produkowany przez Siemens Healthcare, </w:t>
      </w:r>
      <w:proofErr w:type="spellStart"/>
      <w:r w:rsidRPr="0002419A">
        <w:rPr>
          <w:rFonts w:ascii="Arial" w:hAnsi="Arial" w:cs="Arial"/>
        </w:rPr>
        <w:t>Vereos</w:t>
      </w:r>
      <w:proofErr w:type="spellEnd"/>
      <w:r w:rsidRPr="0002419A">
        <w:rPr>
          <w:rFonts w:ascii="Arial" w:hAnsi="Arial" w:cs="Arial"/>
        </w:rPr>
        <w:t xml:space="preserve"> PET/CT 64  produkowany przez Philips Healthcare oraz Discovery 710 (64) produkowany przez GE Healthcare.</w:t>
      </w:r>
    </w:p>
    <w:p w:rsidR="0002419A" w:rsidRPr="0002419A" w:rsidRDefault="0002419A" w:rsidP="0002419A">
      <w:pPr>
        <w:jc w:val="both"/>
        <w:rPr>
          <w:rFonts w:ascii="Arial" w:hAnsi="Arial" w:cs="Arial"/>
        </w:rPr>
      </w:pPr>
      <w:r w:rsidRPr="0002419A">
        <w:rPr>
          <w:rFonts w:ascii="Arial" w:hAnsi="Arial" w:cs="Arial"/>
        </w:rPr>
        <w:t xml:space="preserve">W związku z powyższym prosimy o potwierdzenie, że </w:t>
      </w:r>
      <w:proofErr w:type="spellStart"/>
      <w:r w:rsidRPr="0002419A">
        <w:rPr>
          <w:rFonts w:ascii="Arial" w:hAnsi="Arial" w:cs="Arial"/>
        </w:rPr>
        <w:t>zamawiajacy</w:t>
      </w:r>
      <w:proofErr w:type="spellEnd"/>
      <w:r w:rsidRPr="0002419A">
        <w:rPr>
          <w:rFonts w:ascii="Arial" w:hAnsi="Arial" w:cs="Arial"/>
        </w:rPr>
        <w:t xml:space="preserve"> utrzymuje dotychczasowe zapisy SIWZ niewykluczające żadnego z dostawców i tym samym nie</w:t>
      </w:r>
      <w:r w:rsidRPr="0002419A">
        <w:rPr>
          <w:rFonts w:ascii="Arial" w:hAnsi="Arial" w:cs="Arial"/>
          <w:b/>
        </w:rPr>
        <w:t xml:space="preserve"> </w:t>
      </w:r>
      <w:r w:rsidRPr="0002419A">
        <w:rPr>
          <w:rFonts w:ascii="Arial" w:hAnsi="Arial" w:cs="Arial"/>
        </w:rPr>
        <w:t>wprowadza modyfikacji, o które wnioskował Wykonawca we wskazanych pytaniach.</w:t>
      </w:r>
    </w:p>
    <w:p w:rsidR="0002419A" w:rsidRPr="00C83C1B" w:rsidRDefault="00C83C1B">
      <w:pPr>
        <w:rPr>
          <w:rFonts w:ascii="Arial" w:hAnsi="Arial" w:cs="Arial"/>
          <w:b/>
          <w:u w:val="single"/>
        </w:rPr>
      </w:pPr>
      <w:r w:rsidRPr="00C83C1B">
        <w:rPr>
          <w:rFonts w:ascii="Arial" w:hAnsi="Arial" w:cs="Arial"/>
          <w:b/>
          <w:u w:val="single"/>
        </w:rPr>
        <w:lastRenderedPageBreak/>
        <w:t>Zapytania nr 9 z dnia 13.06.2018</w:t>
      </w:r>
    </w:p>
    <w:p w:rsidR="00C83C1B" w:rsidRDefault="00C83C1B" w:rsidP="00C83C1B">
      <w:pPr>
        <w:jc w:val="both"/>
        <w:rPr>
          <w:sz w:val="20"/>
          <w:szCs w:val="20"/>
          <w:lang w:eastAsia="pl-PL"/>
        </w:rPr>
      </w:pPr>
    </w:p>
    <w:p w:rsidR="00C83C1B" w:rsidRPr="00C83C1B" w:rsidRDefault="00C83C1B" w:rsidP="00C83C1B">
      <w:pPr>
        <w:jc w:val="both"/>
      </w:pPr>
      <w:r w:rsidRPr="00C83C1B">
        <w:t>Pytania dotyczą pkt 51 część CT w zał1 do SIWZ</w:t>
      </w:r>
    </w:p>
    <w:p w:rsidR="00C83C1B" w:rsidRPr="00C83C1B" w:rsidRDefault="00C83C1B" w:rsidP="00C83C1B">
      <w:pPr>
        <w:jc w:val="both"/>
      </w:pPr>
    </w:p>
    <w:p w:rsidR="00C83C1B" w:rsidRPr="00C83C1B" w:rsidRDefault="00C83C1B" w:rsidP="00C83C1B">
      <w:pPr>
        <w:jc w:val="both"/>
      </w:pPr>
      <w:r w:rsidRPr="00C83C1B">
        <w:t xml:space="preserve">PYT1. „Czy zamawiający będzie oczekiwał dostarczenia </w:t>
      </w:r>
      <w:proofErr w:type="spellStart"/>
      <w:r w:rsidRPr="00C83C1B">
        <w:t>wstrzykiwacza</w:t>
      </w:r>
      <w:proofErr w:type="spellEnd"/>
      <w:r w:rsidRPr="00C83C1B">
        <w:t xml:space="preserve"> z możliwością zdalnego nadzoru serwisowego poprzez łącze VPN i udostępni takie łącze?”</w:t>
      </w:r>
    </w:p>
    <w:p w:rsidR="00C83C1B" w:rsidRPr="00C83C1B" w:rsidRDefault="00C83C1B" w:rsidP="00C83C1B">
      <w:pPr>
        <w:jc w:val="both"/>
      </w:pPr>
      <w:r w:rsidRPr="00C83C1B">
        <w:t xml:space="preserve">Uzasadnienie: zastosowanie serwisu zdalnego pozwala na wcześniejsze wykrycie i usunięcie błędów w oprogramowaniu </w:t>
      </w:r>
      <w:proofErr w:type="spellStart"/>
      <w:r w:rsidRPr="00C83C1B">
        <w:t>wstrzykiwacza</w:t>
      </w:r>
      <w:proofErr w:type="spellEnd"/>
      <w:r w:rsidRPr="00C83C1B">
        <w:t xml:space="preserve"> co umożliwia uniknięcie przestojów spowodowanych takimi rodzajami awarii oraz zdalną diagnostykę, która skraca czas potrzebny na interwencje serwisowe.</w:t>
      </w:r>
    </w:p>
    <w:p w:rsidR="00C83C1B" w:rsidRPr="00C83C1B" w:rsidRDefault="00C83C1B" w:rsidP="00C83C1B">
      <w:pPr>
        <w:jc w:val="both"/>
      </w:pPr>
    </w:p>
    <w:p w:rsidR="00C83C1B" w:rsidRPr="00C83C1B" w:rsidRDefault="00C83C1B" w:rsidP="00C83C1B">
      <w:pPr>
        <w:jc w:val="both"/>
      </w:pPr>
      <w:r w:rsidRPr="00C83C1B">
        <w:t xml:space="preserve">PYT2. „Czy </w:t>
      </w:r>
      <w:proofErr w:type="spellStart"/>
      <w:r w:rsidRPr="00C83C1B">
        <w:t>zamawiajcy</w:t>
      </w:r>
      <w:proofErr w:type="spellEnd"/>
      <w:r w:rsidRPr="00C83C1B">
        <w:t xml:space="preserve"> będzie oczekiwał aby głowica </w:t>
      </w:r>
      <w:proofErr w:type="spellStart"/>
      <w:r w:rsidRPr="00C83C1B">
        <w:t>wstrzykiwacza</w:t>
      </w:r>
      <w:proofErr w:type="spellEnd"/>
      <w:r w:rsidRPr="00C83C1B">
        <w:t xml:space="preserve"> dostosowana była do korzystania zarówno z wkładów jednorazowych jak i wkładów wielorazowych o certyfikowanej sterylności min 12h?”- Umożliwi to zamawiającemu optymalizację kosztów poprzez dostosowanie rodzaju wkładów do ilości zaplanowanych badań.</w:t>
      </w:r>
    </w:p>
    <w:p w:rsidR="00C83C1B" w:rsidRPr="00C83C1B" w:rsidRDefault="00C83C1B" w:rsidP="00C83C1B">
      <w:pPr>
        <w:jc w:val="both"/>
      </w:pPr>
    </w:p>
    <w:p w:rsidR="00C83C1B" w:rsidRPr="00C83C1B" w:rsidRDefault="00C83C1B" w:rsidP="00C83C1B">
      <w:pPr>
        <w:jc w:val="both"/>
      </w:pPr>
      <w:r w:rsidRPr="00C83C1B">
        <w:t>Pytania dotyczą pkt 226 częś</w:t>
      </w:r>
      <w:r w:rsidR="0034175E">
        <w:t>ć</w:t>
      </w:r>
      <w:r w:rsidRPr="00C83C1B">
        <w:t xml:space="preserve"> MR w </w:t>
      </w:r>
      <w:proofErr w:type="spellStart"/>
      <w:r w:rsidRPr="00C83C1B">
        <w:t>zał</w:t>
      </w:r>
      <w:proofErr w:type="spellEnd"/>
      <w:r w:rsidRPr="00C83C1B">
        <w:t xml:space="preserve"> 1 do SIWZ</w:t>
      </w:r>
    </w:p>
    <w:p w:rsidR="00C83C1B" w:rsidRPr="00C83C1B" w:rsidRDefault="00C83C1B" w:rsidP="00C83C1B">
      <w:pPr>
        <w:jc w:val="both"/>
      </w:pPr>
    </w:p>
    <w:p w:rsidR="00C83C1B" w:rsidRPr="00C83C1B" w:rsidRDefault="00C83C1B" w:rsidP="00C83C1B">
      <w:pPr>
        <w:jc w:val="both"/>
      </w:pPr>
      <w:r w:rsidRPr="00C83C1B">
        <w:t xml:space="preserve">Pyt. 1 </w:t>
      </w:r>
    </w:p>
    <w:p w:rsidR="00C83C1B" w:rsidRPr="00C83C1B" w:rsidRDefault="00C83C1B" w:rsidP="00C83C1B">
      <w:pPr>
        <w:jc w:val="both"/>
      </w:pPr>
      <w:r w:rsidRPr="00C83C1B">
        <w:t xml:space="preserve">„Czy zamawiający będzie wymagał dostarczenia </w:t>
      </w:r>
      <w:proofErr w:type="spellStart"/>
      <w:r w:rsidRPr="00C83C1B">
        <w:t>wstrzykiwacza</w:t>
      </w:r>
      <w:proofErr w:type="spellEnd"/>
      <w:r w:rsidRPr="00C83C1B">
        <w:t xml:space="preserve"> z możliwością zdalnego nadzoru serwisowego poprzez łącze VPN i udostępni takie łącze?” Uzasadnienie: zastosowanie serwisu zdalnego pozwala na wcześniejsze wykrycie i usunięcie błędów w oprogramowaniu </w:t>
      </w:r>
      <w:proofErr w:type="spellStart"/>
      <w:r w:rsidRPr="00C83C1B">
        <w:t>wstrzykiwacza</w:t>
      </w:r>
      <w:proofErr w:type="spellEnd"/>
      <w:r w:rsidRPr="00C83C1B">
        <w:t xml:space="preserve"> co umożliwia uniknięcie przestojów spowodowanych takimi rodzajami awarii oraz zdalną diagnostykę, która skraca czas potrzebny na interwencje serwisowe.</w:t>
      </w:r>
    </w:p>
    <w:p w:rsidR="00C83C1B" w:rsidRPr="00C83C1B" w:rsidRDefault="00C83C1B" w:rsidP="00C83C1B">
      <w:pPr>
        <w:jc w:val="both"/>
      </w:pPr>
      <w:r w:rsidRPr="00C83C1B">
        <w:t xml:space="preserve">Pyt2 </w:t>
      </w:r>
    </w:p>
    <w:p w:rsidR="00C83C1B" w:rsidRPr="00C83C1B" w:rsidRDefault="00C83C1B" w:rsidP="00C83C1B">
      <w:pPr>
        <w:jc w:val="both"/>
      </w:pPr>
      <w:r w:rsidRPr="00C83C1B">
        <w:t xml:space="preserve">Czy zamawiający będzie wymagał dostarczenia </w:t>
      </w:r>
      <w:proofErr w:type="spellStart"/>
      <w:r w:rsidRPr="00C83C1B">
        <w:t>wstrzykiwacza</w:t>
      </w:r>
      <w:proofErr w:type="spellEnd"/>
      <w:r w:rsidRPr="00C83C1B">
        <w:t xml:space="preserve"> zasilanego bateryjne z możliwością instalacji modułu ciągłego ładowani baterii (stałe zasilanie sieciowe) co pozwoli na wybór sposobu zasilania w zależności od potrzeb zamawiającego?</w:t>
      </w:r>
    </w:p>
    <w:p w:rsidR="00C83C1B" w:rsidRPr="00C83C1B" w:rsidRDefault="00C83C1B" w:rsidP="00C83C1B">
      <w:pPr>
        <w:jc w:val="both"/>
      </w:pPr>
    </w:p>
    <w:p w:rsidR="00C83C1B" w:rsidRPr="00C83C1B" w:rsidRDefault="00C83C1B" w:rsidP="00C83C1B">
      <w:pPr>
        <w:jc w:val="both"/>
      </w:pPr>
      <w:r w:rsidRPr="00C83C1B">
        <w:t xml:space="preserve">Pytania dotyczą pkt 139 część PET CT </w:t>
      </w:r>
      <w:proofErr w:type="spellStart"/>
      <w:r w:rsidRPr="00C83C1B">
        <w:t>zał</w:t>
      </w:r>
      <w:proofErr w:type="spellEnd"/>
      <w:r w:rsidRPr="00C83C1B">
        <w:t xml:space="preserve"> 1 do SIWZ</w:t>
      </w:r>
    </w:p>
    <w:p w:rsidR="00C83C1B" w:rsidRPr="00C83C1B" w:rsidRDefault="00C83C1B" w:rsidP="00C83C1B">
      <w:pPr>
        <w:jc w:val="both"/>
      </w:pPr>
    </w:p>
    <w:p w:rsidR="00C83C1B" w:rsidRPr="00C83C1B" w:rsidRDefault="00C83C1B" w:rsidP="00C83C1B">
      <w:pPr>
        <w:jc w:val="both"/>
      </w:pPr>
      <w:r w:rsidRPr="00C83C1B">
        <w:t>Pyt1</w:t>
      </w:r>
    </w:p>
    <w:p w:rsidR="00C83C1B" w:rsidRPr="00C83C1B" w:rsidRDefault="00C83C1B" w:rsidP="00C83C1B">
      <w:pPr>
        <w:jc w:val="both"/>
      </w:pPr>
      <w:r w:rsidRPr="00C83C1B">
        <w:t xml:space="preserve">„Zwracamy się do zamawiającego z prośbą o dopuszczenie automatycznego dwugłowicowego </w:t>
      </w:r>
      <w:proofErr w:type="spellStart"/>
      <w:r w:rsidRPr="00C83C1B">
        <w:t>wstrzykiwacza</w:t>
      </w:r>
      <w:proofErr w:type="spellEnd"/>
      <w:r w:rsidRPr="00C83C1B">
        <w:t xml:space="preserve"> środków kontrastowych typu </w:t>
      </w:r>
      <w:proofErr w:type="spellStart"/>
      <w:r w:rsidRPr="00C83C1B">
        <w:t>Stellant</w:t>
      </w:r>
      <w:proofErr w:type="spellEnd"/>
      <w:r w:rsidRPr="00C83C1B">
        <w:t xml:space="preserve"> CT Dual o następujących parametrach:</w:t>
      </w:r>
    </w:p>
    <w:p w:rsidR="00C83C1B" w:rsidRPr="00C83C1B" w:rsidRDefault="00C83C1B" w:rsidP="00C83C1B">
      <w:pPr>
        <w:jc w:val="both"/>
      </w:pPr>
      <w:r w:rsidRPr="00C83C1B">
        <w:t xml:space="preserve">Automatyczny, dwugłowicowy dwutłokowy </w:t>
      </w:r>
      <w:proofErr w:type="spellStart"/>
      <w:r w:rsidRPr="00C83C1B">
        <w:t>wstrzykiwacz</w:t>
      </w:r>
      <w:proofErr w:type="spellEnd"/>
      <w:r w:rsidRPr="00C83C1B">
        <w:t xml:space="preserve"> przepływowy (nie pompa) do podawania kontrastu, składający się z :</w:t>
      </w:r>
    </w:p>
    <w:p w:rsidR="00C83C1B" w:rsidRPr="00C83C1B" w:rsidRDefault="00C83C1B" w:rsidP="00C83C1B">
      <w:pPr>
        <w:jc w:val="both"/>
      </w:pPr>
      <w:r w:rsidRPr="00C83C1B">
        <w:t xml:space="preserve">a)         głowicy </w:t>
      </w:r>
      <w:proofErr w:type="spellStart"/>
      <w:r w:rsidRPr="00C83C1B">
        <w:t>wstrzykiwacza</w:t>
      </w:r>
      <w:proofErr w:type="spellEnd"/>
      <w:r w:rsidRPr="00C83C1B">
        <w:t xml:space="preserve"> na statywie jezdnym,</w:t>
      </w:r>
    </w:p>
    <w:p w:rsidR="00C83C1B" w:rsidRPr="00C83C1B" w:rsidRDefault="00C83C1B" w:rsidP="00C83C1B">
      <w:pPr>
        <w:jc w:val="both"/>
      </w:pPr>
      <w:r w:rsidRPr="00C83C1B">
        <w:t>b)         zasilacza</w:t>
      </w:r>
    </w:p>
    <w:p w:rsidR="00C83C1B" w:rsidRPr="00C83C1B" w:rsidRDefault="00C83C1B" w:rsidP="00C83C1B">
      <w:pPr>
        <w:jc w:val="both"/>
      </w:pPr>
      <w:r w:rsidRPr="00C83C1B">
        <w:t>c)         podgrzewaczy kontrastu</w:t>
      </w:r>
    </w:p>
    <w:p w:rsidR="00C83C1B" w:rsidRPr="00C83C1B" w:rsidRDefault="00C83C1B" w:rsidP="00C83C1B">
      <w:pPr>
        <w:jc w:val="both"/>
      </w:pPr>
      <w:r w:rsidRPr="00C83C1B">
        <w:t>d)         okablowania</w:t>
      </w:r>
    </w:p>
    <w:p w:rsidR="00C83C1B" w:rsidRPr="00C83C1B" w:rsidRDefault="00C83C1B" w:rsidP="00C83C1B">
      <w:pPr>
        <w:jc w:val="both"/>
      </w:pPr>
      <w:r w:rsidRPr="00C83C1B">
        <w:t>e)         z dotykowego monitora  sterującego  umożliwiającego odczyt wartości, takich jak:</w:t>
      </w:r>
    </w:p>
    <w:p w:rsidR="00C83C1B" w:rsidRPr="00C83C1B" w:rsidRDefault="00C83C1B" w:rsidP="00C83C1B">
      <w:pPr>
        <w:jc w:val="both"/>
      </w:pPr>
      <w:r w:rsidRPr="00C83C1B">
        <w:t>•           objętość zaprogramowanej ilości środka cieniującego,</w:t>
      </w:r>
    </w:p>
    <w:p w:rsidR="00C83C1B" w:rsidRPr="00C83C1B" w:rsidRDefault="00C83C1B" w:rsidP="00C83C1B">
      <w:pPr>
        <w:jc w:val="both"/>
      </w:pPr>
      <w:r w:rsidRPr="00C83C1B">
        <w:t>•           objętość środka cieniującego we wkładzie</w:t>
      </w:r>
    </w:p>
    <w:p w:rsidR="00C83C1B" w:rsidRPr="00C83C1B" w:rsidRDefault="00C83C1B" w:rsidP="00C83C1B">
      <w:pPr>
        <w:jc w:val="both"/>
      </w:pPr>
      <w:r w:rsidRPr="00C83C1B">
        <w:t>•           objętość soli fizjologicznej we wkładzie</w:t>
      </w:r>
    </w:p>
    <w:p w:rsidR="00C83C1B" w:rsidRPr="00C83C1B" w:rsidRDefault="00C83C1B" w:rsidP="00C83C1B">
      <w:pPr>
        <w:jc w:val="both"/>
      </w:pPr>
      <w:r w:rsidRPr="00C83C1B">
        <w:t xml:space="preserve">•           prędkość przepływu </w:t>
      </w:r>
    </w:p>
    <w:p w:rsidR="00C83C1B" w:rsidRPr="00C83C1B" w:rsidRDefault="00C83C1B" w:rsidP="00C83C1B">
      <w:pPr>
        <w:jc w:val="both"/>
      </w:pPr>
      <w:r w:rsidRPr="00C83C1B">
        <w:t>•           opóźnienie skanowania</w:t>
      </w:r>
    </w:p>
    <w:p w:rsidR="00C83C1B" w:rsidRPr="00C83C1B" w:rsidRDefault="00C83C1B" w:rsidP="00C83C1B">
      <w:pPr>
        <w:jc w:val="both"/>
      </w:pPr>
      <w:r w:rsidRPr="00C83C1B">
        <w:t>•           zaprogramowany czas iniekcji</w:t>
      </w:r>
    </w:p>
    <w:p w:rsidR="00C83C1B" w:rsidRPr="00C83C1B" w:rsidRDefault="00C83C1B" w:rsidP="00C83C1B">
      <w:pPr>
        <w:jc w:val="both"/>
      </w:pPr>
    </w:p>
    <w:p w:rsidR="00C83C1B" w:rsidRPr="00C83C1B" w:rsidRDefault="00C83C1B" w:rsidP="00C83C1B">
      <w:pPr>
        <w:jc w:val="both"/>
      </w:pPr>
      <w:r w:rsidRPr="00C83C1B">
        <w:t>Możliwość pracy dotykowego panelu zdalnego sterowania z przewodem łączącym głowicę, znajdującą się w pomieszczeniu badań ze sterownią</w:t>
      </w:r>
    </w:p>
    <w:p w:rsidR="00C83C1B" w:rsidRPr="00C83C1B" w:rsidRDefault="00C83C1B" w:rsidP="00C83C1B">
      <w:pPr>
        <w:jc w:val="both"/>
      </w:pPr>
      <w:r w:rsidRPr="00C83C1B">
        <w:t>Możliwość integracji z systemem CT- sterowanie z konsoli operatorskiej</w:t>
      </w:r>
    </w:p>
    <w:p w:rsidR="00C83C1B" w:rsidRPr="00C83C1B" w:rsidRDefault="00C83C1B" w:rsidP="00C83C1B">
      <w:pPr>
        <w:jc w:val="both"/>
      </w:pPr>
      <w:r w:rsidRPr="00C83C1B">
        <w:lastRenderedPageBreak/>
        <w:t>Symultaniczne podawanie środka kontrastowego i roztworu soli fizjologicznej z obu wkładów jednocześnie.</w:t>
      </w:r>
    </w:p>
    <w:p w:rsidR="00C83C1B" w:rsidRPr="00C83C1B" w:rsidRDefault="00C83C1B" w:rsidP="00C83C1B">
      <w:pPr>
        <w:jc w:val="both"/>
      </w:pPr>
      <w:r w:rsidRPr="00C83C1B">
        <w:t>regulowana prędkość przepływu w zakresie  od 0,1 do 10 ml/s</w:t>
      </w:r>
    </w:p>
    <w:p w:rsidR="00C83C1B" w:rsidRPr="00C83C1B" w:rsidRDefault="00C83C1B" w:rsidP="00C83C1B">
      <w:pPr>
        <w:jc w:val="both"/>
      </w:pPr>
      <w:r w:rsidRPr="00C83C1B">
        <w:t>generowane ciśnienie 325 PSI</w:t>
      </w:r>
    </w:p>
    <w:p w:rsidR="00C83C1B" w:rsidRPr="00C83C1B" w:rsidRDefault="00C83C1B" w:rsidP="00C83C1B">
      <w:pPr>
        <w:jc w:val="both"/>
      </w:pPr>
      <w:r w:rsidRPr="00C83C1B">
        <w:t xml:space="preserve">Możliwość dowolnego przemieszczania głowicy wraz ze statywem wokół </w:t>
      </w:r>
      <w:proofErr w:type="spellStart"/>
      <w:r w:rsidRPr="00C83C1B">
        <w:t>gantry</w:t>
      </w:r>
      <w:proofErr w:type="spellEnd"/>
      <w:r w:rsidRPr="00C83C1B">
        <w:t xml:space="preserve"> systemu CT</w:t>
      </w:r>
    </w:p>
    <w:p w:rsidR="00C83C1B" w:rsidRPr="00C83C1B" w:rsidRDefault="00C83C1B" w:rsidP="00C83C1B">
      <w:pPr>
        <w:jc w:val="both"/>
      </w:pPr>
      <w:r w:rsidRPr="00C83C1B">
        <w:t>Możliwość zapisywania wprowadzanych ustawień wstrzyknięć w formie  250 protokołów</w:t>
      </w:r>
    </w:p>
    <w:p w:rsidR="00C83C1B" w:rsidRPr="00C83C1B" w:rsidRDefault="00C83C1B" w:rsidP="00C83C1B">
      <w:pPr>
        <w:jc w:val="both"/>
      </w:pPr>
      <w:r w:rsidRPr="00C83C1B">
        <w:t>Pojemność wkładów jednorazowych [ml] 200</w:t>
      </w:r>
    </w:p>
    <w:p w:rsidR="00C83C1B" w:rsidRPr="00C83C1B" w:rsidRDefault="00C83C1B" w:rsidP="00C83C1B">
      <w:pPr>
        <w:jc w:val="both"/>
      </w:pPr>
      <w:r w:rsidRPr="00C83C1B">
        <w:t xml:space="preserve">Automatyczna detekcja przez </w:t>
      </w:r>
      <w:proofErr w:type="spellStart"/>
      <w:r w:rsidRPr="00C83C1B">
        <w:t>wstrzykiwacz</w:t>
      </w:r>
      <w:proofErr w:type="spellEnd"/>
      <w:r w:rsidRPr="00C83C1B">
        <w:t xml:space="preserve"> zastosowanego wkładu wymiennego</w:t>
      </w:r>
    </w:p>
    <w:p w:rsidR="00C83C1B" w:rsidRPr="00C83C1B" w:rsidRDefault="00C83C1B" w:rsidP="00C83C1B">
      <w:pPr>
        <w:jc w:val="both"/>
      </w:pPr>
    </w:p>
    <w:p w:rsidR="00C83C1B" w:rsidRPr="00C83C1B" w:rsidRDefault="00C83C1B" w:rsidP="00C83C1B">
      <w:pPr>
        <w:jc w:val="both"/>
      </w:pPr>
    </w:p>
    <w:p w:rsidR="00C83C1B" w:rsidRPr="00C83C1B" w:rsidRDefault="00C83C1B" w:rsidP="00C83C1B">
      <w:pPr>
        <w:jc w:val="both"/>
      </w:pPr>
      <w:r w:rsidRPr="00C83C1B">
        <w:t xml:space="preserve">PYT2. „Czy zamawiający będzie oczekiwał dostarczenia </w:t>
      </w:r>
      <w:proofErr w:type="spellStart"/>
      <w:r w:rsidRPr="00C83C1B">
        <w:t>wstrzykiwacza</w:t>
      </w:r>
      <w:proofErr w:type="spellEnd"/>
      <w:r w:rsidRPr="00C83C1B">
        <w:t xml:space="preserve"> z możliwością zdalnego nadzoru serwisowego poprzez łącze VPN i udostępni takie łącze?”</w:t>
      </w:r>
    </w:p>
    <w:p w:rsidR="00C83C1B" w:rsidRPr="00C83C1B" w:rsidRDefault="00C83C1B" w:rsidP="00C83C1B">
      <w:pPr>
        <w:jc w:val="both"/>
      </w:pPr>
      <w:r w:rsidRPr="00C83C1B">
        <w:t xml:space="preserve">Uzasadnienie: zastosowanie serwisu zdalnego pozwala na wcześniejsze wykrycie i usunięcie błędów w oprogramowaniu </w:t>
      </w:r>
      <w:proofErr w:type="spellStart"/>
      <w:r w:rsidRPr="00C83C1B">
        <w:t>wstrzykiwacza</w:t>
      </w:r>
      <w:proofErr w:type="spellEnd"/>
      <w:r w:rsidRPr="00C83C1B">
        <w:t xml:space="preserve"> co umożliwia uniknięcie przestojów spowodowanych takimi rodzajami awarii oraz zdalną diagnostykę, która skraca czas potrzebny na interwencje serwisowe.</w:t>
      </w:r>
    </w:p>
    <w:p w:rsidR="00C83C1B" w:rsidRPr="00C83C1B" w:rsidRDefault="00C83C1B" w:rsidP="00C83C1B">
      <w:pPr>
        <w:jc w:val="both"/>
      </w:pPr>
    </w:p>
    <w:p w:rsidR="00C83C1B" w:rsidRPr="00C83C1B" w:rsidRDefault="00C83C1B" w:rsidP="00C83C1B">
      <w:pPr>
        <w:jc w:val="both"/>
      </w:pPr>
      <w:r w:rsidRPr="00C83C1B">
        <w:t xml:space="preserve">PYT3. „Czy </w:t>
      </w:r>
      <w:proofErr w:type="spellStart"/>
      <w:r w:rsidRPr="00C83C1B">
        <w:t>zamawiajcy</w:t>
      </w:r>
      <w:proofErr w:type="spellEnd"/>
      <w:r w:rsidRPr="00C83C1B">
        <w:t xml:space="preserve"> będzie oczekiwał aby głowica </w:t>
      </w:r>
      <w:proofErr w:type="spellStart"/>
      <w:r w:rsidRPr="00C83C1B">
        <w:t>wstrzykiwacza</w:t>
      </w:r>
      <w:proofErr w:type="spellEnd"/>
      <w:r w:rsidRPr="00C83C1B">
        <w:t xml:space="preserve"> dostosowana była do korzystania zarówno z wkładów jednorazowych jak i wkładów wielorazowych o certyfikowanej sterylności min 12h?”- Umożliwi to zamawiającemu optymalizację kosztów poprzez dostosowanie rodzaju wkładów do ilości zaplanowanych badań.</w:t>
      </w:r>
    </w:p>
    <w:p w:rsidR="00C83C1B" w:rsidRDefault="00C83C1B" w:rsidP="00C83C1B">
      <w:pPr>
        <w:jc w:val="both"/>
        <w:rPr>
          <w:rFonts w:ascii="Arial" w:hAnsi="Arial" w:cs="Arial"/>
          <w:b/>
        </w:rPr>
      </w:pPr>
    </w:p>
    <w:p w:rsidR="00D3466E" w:rsidRPr="00635C35" w:rsidRDefault="00D3466E" w:rsidP="00D3466E">
      <w:pPr>
        <w:jc w:val="both"/>
        <w:rPr>
          <w:sz w:val="22"/>
          <w:szCs w:val="22"/>
        </w:rPr>
      </w:pPr>
      <w:r w:rsidRPr="00635C35">
        <w:rPr>
          <w:sz w:val="22"/>
          <w:szCs w:val="22"/>
        </w:rPr>
        <w:t>Pytanie dotyczy pkt 143 cześć PET CT</w:t>
      </w:r>
    </w:p>
    <w:p w:rsidR="00D3466E" w:rsidRPr="00635C35" w:rsidRDefault="00D3466E" w:rsidP="00D3466E">
      <w:pPr>
        <w:jc w:val="both"/>
        <w:rPr>
          <w:sz w:val="22"/>
          <w:szCs w:val="22"/>
        </w:rPr>
      </w:pPr>
      <w:r w:rsidRPr="00635C35">
        <w:rPr>
          <w:sz w:val="22"/>
          <w:szCs w:val="22"/>
        </w:rPr>
        <w:t>Pyt 1.</w:t>
      </w:r>
    </w:p>
    <w:p w:rsidR="00D3466E" w:rsidRPr="00635C35" w:rsidRDefault="00D3466E" w:rsidP="00D3466E">
      <w:pPr>
        <w:jc w:val="both"/>
        <w:rPr>
          <w:sz w:val="22"/>
          <w:szCs w:val="22"/>
        </w:rPr>
      </w:pPr>
      <w:r w:rsidRPr="00635C35">
        <w:rPr>
          <w:sz w:val="22"/>
          <w:szCs w:val="22"/>
        </w:rPr>
        <w:t xml:space="preserve">Czy zamawiający będzie oczekiwał lub </w:t>
      </w:r>
      <w:proofErr w:type="spellStart"/>
      <w:r w:rsidRPr="00635C35">
        <w:rPr>
          <w:sz w:val="22"/>
          <w:szCs w:val="22"/>
        </w:rPr>
        <w:t>dodtakowo</w:t>
      </w:r>
      <w:proofErr w:type="spellEnd"/>
      <w:r w:rsidRPr="00635C35">
        <w:rPr>
          <w:sz w:val="22"/>
          <w:szCs w:val="22"/>
        </w:rPr>
        <w:t xml:space="preserve"> punktował  dyspenser z podwójną osłoną wolframowo- ołowiową?</w:t>
      </w:r>
    </w:p>
    <w:p w:rsidR="00D3466E" w:rsidRPr="00635C35" w:rsidRDefault="00D3466E" w:rsidP="00D3466E">
      <w:pPr>
        <w:jc w:val="both"/>
        <w:rPr>
          <w:sz w:val="22"/>
          <w:szCs w:val="22"/>
        </w:rPr>
      </w:pPr>
      <w:r w:rsidRPr="00635C35">
        <w:rPr>
          <w:sz w:val="22"/>
          <w:szCs w:val="22"/>
        </w:rPr>
        <w:t>Pyt2</w:t>
      </w:r>
    </w:p>
    <w:p w:rsidR="00D3466E" w:rsidRPr="00635C35" w:rsidRDefault="00D3466E" w:rsidP="00D3466E">
      <w:pPr>
        <w:jc w:val="both"/>
        <w:rPr>
          <w:sz w:val="22"/>
          <w:szCs w:val="22"/>
        </w:rPr>
      </w:pPr>
      <w:r w:rsidRPr="00635C35">
        <w:rPr>
          <w:sz w:val="22"/>
          <w:szCs w:val="22"/>
        </w:rPr>
        <w:t xml:space="preserve">Czy zamawiający będzie oczekiwał </w:t>
      </w:r>
      <w:proofErr w:type="spellStart"/>
      <w:r w:rsidRPr="00635C35">
        <w:rPr>
          <w:sz w:val="22"/>
          <w:szCs w:val="22"/>
        </w:rPr>
        <w:t>dostaczernia</w:t>
      </w:r>
      <w:proofErr w:type="spellEnd"/>
      <w:r w:rsidRPr="00635C35">
        <w:rPr>
          <w:sz w:val="22"/>
          <w:szCs w:val="22"/>
        </w:rPr>
        <w:t xml:space="preserve"> dyspensera z </w:t>
      </w:r>
      <w:proofErr w:type="spellStart"/>
      <w:r w:rsidRPr="00635C35">
        <w:rPr>
          <w:sz w:val="22"/>
          <w:szCs w:val="22"/>
        </w:rPr>
        <w:t>mozliwością</w:t>
      </w:r>
      <w:proofErr w:type="spellEnd"/>
      <w:r w:rsidRPr="00635C35">
        <w:rPr>
          <w:sz w:val="22"/>
          <w:szCs w:val="22"/>
        </w:rPr>
        <w:t xml:space="preserve"> zdalnego nadzoru serwisowego poprzez łącze internetowe?</w:t>
      </w:r>
    </w:p>
    <w:p w:rsidR="00D3466E" w:rsidRPr="00635C35" w:rsidRDefault="00D3466E" w:rsidP="00D3466E">
      <w:pPr>
        <w:jc w:val="both"/>
        <w:rPr>
          <w:sz w:val="22"/>
          <w:szCs w:val="22"/>
        </w:rPr>
      </w:pPr>
      <w:r w:rsidRPr="00635C35">
        <w:rPr>
          <w:sz w:val="22"/>
          <w:szCs w:val="22"/>
        </w:rPr>
        <w:t>Pyt3</w:t>
      </w:r>
    </w:p>
    <w:p w:rsidR="00D3466E" w:rsidRPr="00635C35" w:rsidRDefault="00D3466E" w:rsidP="00D3466E">
      <w:pPr>
        <w:jc w:val="both"/>
        <w:rPr>
          <w:sz w:val="22"/>
          <w:szCs w:val="22"/>
        </w:rPr>
      </w:pPr>
      <w:r w:rsidRPr="00635C35">
        <w:rPr>
          <w:sz w:val="22"/>
          <w:szCs w:val="22"/>
        </w:rPr>
        <w:t xml:space="preserve">Czy zamawiający będzie wymagał dostarczenia dyspensera z </w:t>
      </w:r>
      <w:proofErr w:type="spellStart"/>
      <w:r w:rsidRPr="00635C35">
        <w:rPr>
          <w:sz w:val="22"/>
          <w:szCs w:val="22"/>
        </w:rPr>
        <w:t>mozliwością</w:t>
      </w:r>
      <w:proofErr w:type="spellEnd"/>
      <w:r w:rsidRPr="00635C35">
        <w:rPr>
          <w:sz w:val="22"/>
          <w:szCs w:val="22"/>
        </w:rPr>
        <w:t xml:space="preserve"> komunikacji z </w:t>
      </w:r>
      <w:proofErr w:type="spellStart"/>
      <w:r w:rsidRPr="00635C35">
        <w:rPr>
          <w:sz w:val="22"/>
          <w:szCs w:val="22"/>
        </w:rPr>
        <w:t>stemem</w:t>
      </w:r>
      <w:proofErr w:type="spellEnd"/>
      <w:r w:rsidRPr="00635C35">
        <w:rPr>
          <w:sz w:val="22"/>
          <w:szCs w:val="22"/>
        </w:rPr>
        <w:t xml:space="preserve"> PACS?</w:t>
      </w:r>
    </w:p>
    <w:p w:rsidR="00D3466E" w:rsidRPr="00635C35" w:rsidRDefault="00D3466E" w:rsidP="00D3466E">
      <w:pPr>
        <w:jc w:val="both"/>
        <w:rPr>
          <w:sz w:val="22"/>
          <w:szCs w:val="22"/>
        </w:rPr>
      </w:pPr>
      <w:r w:rsidRPr="00635C35">
        <w:rPr>
          <w:sz w:val="22"/>
          <w:szCs w:val="22"/>
        </w:rPr>
        <w:t>Pyt4</w:t>
      </w:r>
    </w:p>
    <w:p w:rsidR="00D3466E" w:rsidRPr="00635C35" w:rsidRDefault="00D3466E" w:rsidP="00D3466E">
      <w:pPr>
        <w:jc w:val="both"/>
        <w:rPr>
          <w:sz w:val="22"/>
          <w:szCs w:val="22"/>
        </w:rPr>
      </w:pPr>
      <w:r w:rsidRPr="00635C35">
        <w:rPr>
          <w:sz w:val="22"/>
          <w:szCs w:val="22"/>
        </w:rPr>
        <w:t xml:space="preserve">Czy </w:t>
      </w:r>
      <w:proofErr w:type="spellStart"/>
      <w:r w:rsidRPr="00635C35">
        <w:rPr>
          <w:sz w:val="22"/>
          <w:szCs w:val="22"/>
        </w:rPr>
        <w:t>zamawiajcy</w:t>
      </w:r>
      <w:proofErr w:type="spellEnd"/>
      <w:r w:rsidRPr="00635C35">
        <w:rPr>
          <w:sz w:val="22"/>
          <w:szCs w:val="22"/>
        </w:rPr>
        <w:t xml:space="preserve"> będzie oczekiwał dostarczenia dyspensera w pełni </w:t>
      </w:r>
      <w:proofErr w:type="spellStart"/>
      <w:r w:rsidRPr="00635C35">
        <w:rPr>
          <w:sz w:val="22"/>
          <w:szCs w:val="22"/>
        </w:rPr>
        <w:t>moblinego</w:t>
      </w:r>
      <w:proofErr w:type="spellEnd"/>
      <w:r w:rsidRPr="00635C35">
        <w:rPr>
          <w:sz w:val="22"/>
          <w:szCs w:val="22"/>
        </w:rPr>
        <w:t xml:space="preserve"> z zasilaniem akumulatorowym i sieciowym?</w:t>
      </w:r>
    </w:p>
    <w:p w:rsidR="00D3466E" w:rsidRPr="00635C35" w:rsidRDefault="00D3466E" w:rsidP="00D3466E">
      <w:pPr>
        <w:jc w:val="both"/>
        <w:rPr>
          <w:sz w:val="22"/>
          <w:szCs w:val="22"/>
        </w:rPr>
      </w:pPr>
      <w:r w:rsidRPr="00635C35">
        <w:rPr>
          <w:sz w:val="22"/>
          <w:szCs w:val="22"/>
        </w:rPr>
        <w:t>Pyt 5</w:t>
      </w:r>
    </w:p>
    <w:p w:rsidR="00D3466E" w:rsidRPr="00635C35" w:rsidRDefault="00D3466E" w:rsidP="00D3466E">
      <w:pPr>
        <w:jc w:val="both"/>
        <w:rPr>
          <w:sz w:val="22"/>
          <w:szCs w:val="22"/>
        </w:rPr>
      </w:pPr>
      <w:r w:rsidRPr="00635C35">
        <w:rPr>
          <w:sz w:val="22"/>
          <w:szCs w:val="22"/>
        </w:rPr>
        <w:t xml:space="preserve">Czy </w:t>
      </w:r>
      <w:proofErr w:type="spellStart"/>
      <w:r w:rsidRPr="00635C35">
        <w:rPr>
          <w:sz w:val="22"/>
          <w:szCs w:val="22"/>
        </w:rPr>
        <w:t>zamawiący</w:t>
      </w:r>
      <w:proofErr w:type="spellEnd"/>
      <w:r w:rsidRPr="00635C35">
        <w:rPr>
          <w:sz w:val="22"/>
          <w:szCs w:val="22"/>
        </w:rPr>
        <w:t xml:space="preserve"> zaakceptuje dyspenser- automatyczny system do infuzji </w:t>
      </w:r>
      <w:proofErr w:type="spellStart"/>
      <w:r w:rsidRPr="00635C35">
        <w:rPr>
          <w:sz w:val="22"/>
          <w:szCs w:val="22"/>
        </w:rPr>
        <w:t>radiofarmaceutyku</w:t>
      </w:r>
      <w:proofErr w:type="spellEnd"/>
      <w:r w:rsidRPr="00635C35">
        <w:rPr>
          <w:sz w:val="22"/>
          <w:szCs w:val="22"/>
        </w:rPr>
        <w:t xml:space="preserve"> typu </w:t>
      </w:r>
      <w:proofErr w:type="spellStart"/>
      <w:r w:rsidRPr="00635C35">
        <w:rPr>
          <w:sz w:val="22"/>
          <w:szCs w:val="22"/>
        </w:rPr>
        <w:t>Intego</w:t>
      </w:r>
      <w:proofErr w:type="spellEnd"/>
      <w:r w:rsidRPr="00635C35">
        <w:rPr>
          <w:sz w:val="22"/>
          <w:szCs w:val="22"/>
        </w:rPr>
        <w:t xml:space="preserve"> INT SYS 200. produkowany przez firmę </w:t>
      </w:r>
      <w:proofErr w:type="spellStart"/>
      <w:r w:rsidRPr="00635C35">
        <w:rPr>
          <w:sz w:val="22"/>
          <w:szCs w:val="22"/>
        </w:rPr>
        <w:t>Medrad</w:t>
      </w:r>
      <w:proofErr w:type="spellEnd"/>
      <w:r w:rsidRPr="00635C35">
        <w:rPr>
          <w:sz w:val="22"/>
          <w:szCs w:val="22"/>
        </w:rPr>
        <w:t xml:space="preserve"> Bayer o następujących parametrach:</w:t>
      </w:r>
    </w:p>
    <w:p w:rsidR="00D3466E" w:rsidRPr="00635C35" w:rsidRDefault="00D3466E" w:rsidP="00D3466E">
      <w:pPr>
        <w:jc w:val="both"/>
        <w:rPr>
          <w:sz w:val="22"/>
          <w:szCs w:val="22"/>
        </w:rPr>
      </w:pPr>
    </w:p>
    <w:p w:rsidR="00D3466E" w:rsidRPr="00635C35" w:rsidRDefault="00D3466E" w:rsidP="00D3466E">
      <w:pPr>
        <w:jc w:val="both"/>
        <w:rPr>
          <w:sz w:val="22"/>
          <w:szCs w:val="22"/>
        </w:rPr>
      </w:pPr>
      <w:r w:rsidRPr="00635C35">
        <w:rPr>
          <w:sz w:val="22"/>
          <w:szCs w:val="22"/>
        </w:rPr>
        <w:t xml:space="preserve">·       Zakres dawki: 37-925 </w:t>
      </w:r>
      <w:proofErr w:type="spellStart"/>
      <w:r w:rsidRPr="00635C35">
        <w:rPr>
          <w:sz w:val="22"/>
          <w:szCs w:val="22"/>
        </w:rPr>
        <w:t>MBq</w:t>
      </w:r>
      <w:proofErr w:type="spellEnd"/>
      <w:r w:rsidRPr="00635C35">
        <w:rPr>
          <w:sz w:val="22"/>
          <w:szCs w:val="22"/>
        </w:rPr>
        <w:t xml:space="preserve"> (1-25 </w:t>
      </w:r>
      <w:proofErr w:type="spellStart"/>
      <w:r w:rsidRPr="00635C35">
        <w:rPr>
          <w:sz w:val="22"/>
          <w:szCs w:val="22"/>
        </w:rPr>
        <w:t>mCi</w:t>
      </w:r>
      <w:proofErr w:type="spellEnd"/>
      <w:r w:rsidRPr="00635C35">
        <w:rPr>
          <w:sz w:val="22"/>
          <w:szCs w:val="22"/>
        </w:rPr>
        <w:t>)</w:t>
      </w:r>
    </w:p>
    <w:p w:rsidR="00D3466E" w:rsidRPr="00635C35" w:rsidRDefault="00D3466E" w:rsidP="00D3466E">
      <w:pPr>
        <w:jc w:val="both"/>
        <w:rPr>
          <w:sz w:val="22"/>
          <w:szCs w:val="22"/>
        </w:rPr>
      </w:pPr>
      <w:r w:rsidRPr="00635C35">
        <w:rPr>
          <w:sz w:val="22"/>
          <w:szCs w:val="22"/>
        </w:rPr>
        <w:t xml:space="preserve">·       </w:t>
      </w:r>
      <w:proofErr w:type="spellStart"/>
      <w:r w:rsidRPr="00635C35">
        <w:rPr>
          <w:sz w:val="22"/>
          <w:szCs w:val="22"/>
        </w:rPr>
        <w:t>Dokładnośc</w:t>
      </w:r>
      <w:proofErr w:type="spellEnd"/>
      <w:r w:rsidRPr="00635C35">
        <w:rPr>
          <w:sz w:val="22"/>
          <w:szCs w:val="22"/>
        </w:rPr>
        <w:t xml:space="preserve"> dawki: +\- 2% zmierzonej dawki</w:t>
      </w:r>
    </w:p>
    <w:p w:rsidR="00D3466E" w:rsidRPr="00635C35" w:rsidRDefault="00D3466E" w:rsidP="00D3466E">
      <w:pPr>
        <w:jc w:val="both"/>
        <w:rPr>
          <w:sz w:val="22"/>
          <w:szCs w:val="22"/>
        </w:rPr>
      </w:pPr>
      <w:r w:rsidRPr="00635C35">
        <w:rPr>
          <w:sz w:val="22"/>
          <w:szCs w:val="22"/>
        </w:rPr>
        <w:t xml:space="preserve">·       Maksymalna radioaktywność: 27 </w:t>
      </w:r>
      <w:proofErr w:type="spellStart"/>
      <w:r w:rsidRPr="00635C35">
        <w:rPr>
          <w:sz w:val="22"/>
          <w:szCs w:val="22"/>
        </w:rPr>
        <w:t>GBq</w:t>
      </w:r>
      <w:proofErr w:type="spellEnd"/>
      <w:r w:rsidRPr="00635C35">
        <w:rPr>
          <w:sz w:val="22"/>
          <w:szCs w:val="22"/>
        </w:rPr>
        <w:t xml:space="preserve"> (750 </w:t>
      </w:r>
      <w:proofErr w:type="spellStart"/>
      <w:r w:rsidRPr="00635C35">
        <w:rPr>
          <w:sz w:val="22"/>
          <w:szCs w:val="22"/>
        </w:rPr>
        <w:t>mCi</w:t>
      </w:r>
      <w:proofErr w:type="spellEnd"/>
      <w:r w:rsidRPr="00635C35">
        <w:rPr>
          <w:sz w:val="22"/>
          <w:szCs w:val="22"/>
        </w:rPr>
        <w:t xml:space="preserve">) dla skutecznej osłony o   25,9 </w:t>
      </w:r>
      <w:proofErr w:type="spellStart"/>
      <w:r w:rsidRPr="00635C35">
        <w:rPr>
          <w:sz w:val="22"/>
          <w:szCs w:val="22"/>
        </w:rPr>
        <w:t>Gbq</w:t>
      </w:r>
      <w:proofErr w:type="spellEnd"/>
      <w:r w:rsidRPr="00635C35">
        <w:rPr>
          <w:sz w:val="22"/>
          <w:szCs w:val="22"/>
        </w:rPr>
        <w:t xml:space="preserve"> (700 </w:t>
      </w:r>
      <w:proofErr w:type="spellStart"/>
      <w:r w:rsidRPr="00635C35">
        <w:rPr>
          <w:sz w:val="22"/>
          <w:szCs w:val="22"/>
        </w:rPr>
        <w:t>mCi</w:t>
      </w:r>
      <w:proofErr w:type="spellEnd"/>
      <w:r w:rsidRPr="00635C35">
        <w:rPr>
          <w:sz w:val="22"/>
          <w:szCs w:val="22"/>
        </w:rPr>
        <w:t>) dla przygotowania dawki</w:t>
      </w:r>
    </w:p>
    <w:p w:rsidR="00D3466E" w:rsidRPr="00635C35" w:rsidRDefault="00D3466E" w:rsidP="00D3466E">
      <w:pPr>
        <w:jc w:val="both"/>
        <w:rPr>
          <w:sz w:val="22"/>
          <w:szCs w:val="22"/>
        </w:rPr>
      </w:pPr>
      <w:r w:rsidRPr="00635C35">
        <w:rPr>
          <w:sz w:val="22"/>
          <w:szCs w:val="22"/>
        </w:rPr>
        <w:t>·       Maksymalna objętość fiolki: 30ml</w:t>
      </w:r>
    </w:p>
    <w:p w:rsidR="00D3466E" w:rsidRPr="00635C35" w:rsidRDefault="00D3466E" w:rsidP="00D3466E">
      <w:pPr>
        <w:jc w:val="both"/>
        <w:rPr>
          <w:sz w:val="22"/>
          <w:szCs w:val="22"/>
        </w:rPr>
      </w:pPr>
      <w:r w:rsidRPr="00635C35">
        <w:rPr>
          <w:sz w:val="22"/>
          <w:szCs w:val="22"/>
        </w:rPr>
        <w:t xml:space="preserve">·       Maksymalne stężenie: 3700 </w:t>
      </w:r>
      <w:proofErr w:type="spellStart"/>
      <w:r w:rsidRPr="00635C35">
        <w:rPr>
          <w:sz w:val="22"/>
          <w:szCs w:val="22"/>
        </w:rPr>
        <w:t>MBq</w:t>
      </w:r>
      <w:proofErr w:type="spellEnd"/>
      <w:r w:rsidRPr="00635C35">
        <w:rPr>
          <w:sz w:val="22"/>
          <w:szCs w:val="22"/>
        </w:rPr>
        <w:t xml:space="preserve">/ml (100 </w:t>
      </w:r>
      <w:proofErr w:type="spellStart"/>
      <w:r w:rsidRPr="00635C35">
        <w:rPr>
          <w:sz w:val="22"/>
          <w:szCs w:val="22"/>
        </w:rPr>
        <w:t>mCi</w:t>
      </w:r>
      <w:proofErr w:type="spellEnd"/>
      <w:r w:rsidRPr="00635C35">
        <w:rPr>
          <w:sz w:val="22"/>
          <w:szCs w:val="22"/>
        </w:rPr>
        <w:t>/ml)</w:t>
      </w:r>
    </w:p>
    <w:p w:rsidR="00D3466E" w:rsidRPr="00635C35" w:rsidRDefault="00D3466E" w:rsidP="00D3466E">
      <w:pPr>
        <w:jc w:val="both"/>
        <w:rPr>
          <w:sz w:val="22"/>
          <w:szCs w:val="22"/>
        </w:rPr>
      </w:pPr>
      <w:r w:rsidRPr="00635C35">
        <w:rPr>
          <w:sz w:val="22"/>
          <w:szCs w:val="22"/>
        </w:rPr>
        <w:t xml:space="preserve">·       </w:t>
      </w:r>
      <w:proofErr w:type="spellStart"/>
      <w:r w:rsidRPr="00635C35">
        <w:rPr>
          <w:sz w:val="22"/>
          <w:szCs w:val="22"/>
        </w:rPr>
        <w:t>Skutecznośc</w:t>
      </w:r>
      <w:proofErr w:type="spellEnd"/>
      <w:r w:rsidRPr="00635C35">
        <w:rPr>
          <w:sz w:val="22"/>
          <w:szCs w:val="22"/>
        </w:rPr>
        <w:t xml:space="preserve"> osłony: &lt;0,02 </w:t>
      </w:r>
      <w:proofErr w:type="spellStart"/>
      <w:r w:rsidRPr="00635C35">
        <w:rPr>
          <w:sz w:val="22"/>
          <w:szCs w:val="22"/>
        </w:rPr>
        <w:t>mSv</w:t>
      </w:r>
      <w:proofErr w:type="spellEnd"/>
      <w:r w:rsidRPr="00635C35">
        <w:rPr>
          <w:sz w:val="22"/>
          <w:szCs w:val="22"/>
        </w:rPr>
        <w:t xml:space="preserve">/godz. (2 </w:t>
      </w:r>
      <w:proofErr w:type="spellStart"/>
      <w:r w:rsidRPr="00635C35">
        <w:rPr>
          <w:sz w:val="22"/>
          <w:szCs w:val="22"/>
        </w:rPr>
        <w:t>mrem</w:t>
      </w:r>
      <w:proofErr w:type="spellEnd"/>
      <w:r w:rsidRPr="00635C35">
        <w:rPr>
          <w:sz w:val="22"/>
          <w:szCs w:val="22"/>
        </w:rPr>
        <w:t xml:space="preserve">/godz.) w </w:t>
      </w:r>
      <w:proofErr w:type="spellStart"/>
      <w:r w:rsidRPr="00635C35">
        <w:rPr>
          <w:sz w:val="22"/>
          <w:szCs w:val="22"/>
        </w:rPr>
        <w:t>odległosci</w:t>
      </w:r>
      <w:proofErr w:type="spellEnd"/>
      <w:r w:rsidRPr="00635C35">
        <w:rPr>
          <w:sz w:val="22"/>
          <w:szCs w:val="22"/>
        </w:rPr>
        <w:t xml:space="preserve"> 30,5 cm od powierzchni z maksymalną aktywnością</w:t>
      </w:r>
    </w:p>
    <w:p w:rsidR="00D3466E" w:rsidRPr="00635C35" w:rsidRDefault="00D3466E" w:rsidP="00D3466E">
      <w:pPr>
        <w:jc w:val="both"/>
        <w:rPr>
          <w:sz w:val="22"/>
          <w:szCs w:val="22"/>
        </w:rPr>
      </w:pPr>
      <w:r w:rsidRPr="00635C35">
        <w:rPr>
          <w:sz w:val="22"/>
          <w:szCs w:val="22"/>
        </w:rPr>
        <w:t xml:space="preserve">·       </w:t>
      </w:r>
      <w:proofErr w:type="spellStart"/>
      <w:r w:rsidRPr="00635C35">
        <w:rPr>
          <w:sz w:val="22"/>
          <w:szCs w:val="22"/>
        </w:rPr>
        <w:t>Radiofarmaceutyki</w:t>
      </w:r>
      <w:proofErr w:type="spellEnd"/>
      <w:r w:rsidRPr="00635C35">
        <w:rPr>
          <w:sz w:val="22"/>
          <w:szCs w:val="22"/>
        </w:rPr>
        <w:t xml:space="preserve"> 18F- FDG lub 18F- </w:t>
      </w:r>
      <w:proofErr w:type="spellStart"/>
      <w:r w:rsidRPr="00635C35">
        <w:rPr>
          <w:sz w:val="22"/>
          <w:szCs w:val="22"/>
        </w:rPr>
        <w:t>NaF</w:t>
      </w:r>
      <w:proofErr w:type="spellEnd"/>
    </w:p>
    <w:p w:rsidR="00D3466E" w:rsidRPr="00635C35" w:rsidRDefault="00D3466E" w:rsidP="00D3466E">
      <w:pPr>
        <w:jc w:val="both"/>
        <w:rPr>
          <w:sz w:val="22"/>
          <w:szCs w:val="22"/>
        </w:rPr>
      </w:pPr>
      <w:r w:rsidRPr="00635C35">
        <w:rPr>
          <w:sz w:val="22"/>
          <w:szCs w:val="22"/>
        </w:rPr>
        <w:t xml:space="preserve">·       </w:t>
      </w:r>
      <w:proofErr w:type="spellStart"/>
      <w:r w:rsidRPr="00635C35">
        <w:rPr>
          <w:sz w:val="22"/>
          <w:szCs w:val="22"/>
        </w:rPr>
        <w:t>Prędkośc</w:t>
      </w:r>
      <w:proofErr w:type="spellEnd"/>
      <w:r w:rsidRPr="00635C35">
        <w:rPr>
          <w:sz w:val="22"/>
          <w:szCs w:val="22"/>
        </w:rPr>
        <w:t xml:space="preserve"> wlewu 1 ml/s </w:t>
      </w:r>
    </w:p>
    <w:p w:rsidR="00D3466E" w:rsidRPr="00635C35" w:rsidRDefault="00D3466E" w:rsidP="00D3466E">
      <w:pPr>
        <w:jc w:val="both"/>
        <w:rPr>
          <w:sz w:val="22"/>
          <w:szCs w:val="22"/>
        </w:rPr>
      </w:pPr>
    </w:p>
    <w:p w:rsidR="00D3466E" w:rsidRPr="00635C35" w:rsidRDefault="00D3466E" w:rsidP="00D3466E">
      <w:pPr>
        <w:jc w:val="both"/>
        <w:rPr>
          <w:sz w:val="22"/>
          <w:szCs w:val="22"/>
        </w:rPr>
      </w:pPr>
      <w:r w:rsidRPr="00635C35">
        <w:rPr>
          <w:sz w:val="22"/>
          <w:szCs w:val="22"/>
        </w:rPr>
        <w:t xml:space="preserve">• Materiał RP jest przechowywany w komorze ekranowanej systemu infuzyjnego PET </w:t>
      </w:r>
      <w:proofErr w:type="spellStart"/>
      <w:r w:rsidRPr="00635C35">
        <w:rPr>
          <w:sz w:val="22"/>
          <w:szCs w:val="22"/>
        </w:rPr>
        <w:t>Intego</w:t>
      </w:r>
      <w:proofErr w:type="spellEnd"/>
      <w:r w:rsidRPr="00635C35">
        <w:rPr>
          <w:sz w:val="22"/>
          <w:szCs w:val="22"/>
        </w:rPr>
        <w:t xml:space="preserve">™. Dawka RP określona do podania jest tworzona automatycznie, gdy </w:t>
      </w:r>
      <w:proofErr w:type="spellStart"/>
      <w:r w:rsidRPr="00635C35">
        <w:rPr>
          <w:sz w:val="22"/>
          <w:szCs w:val="22"/>
        </w:rPr>
        <w:t>dawkapozostaje</w:t>
      </w:r>
      <w:proofErr w:type="spellEnd"/>
      <w:r w:rsidRPr="00635C35">
        <w:rPr>
          <w:sz w:val="22"/>
          <w:szCs w:val="22"/>
        </w:rPr>
        <w:t xml:space="preserve"> w komorze ekranowanej, znacznie redukując ekspozycję operatora napromieniowanie. Wszelkie pozostałości materiału po infuzji pozostają w komorze ekranowanej do czasu usunięcia. Dzięki korzystaniu z zestawu SAS, który również znajduje się w komorze </w:t>
      </w:r>
      <w:r w:rsidRPr="00635C35">
        <w:rPr>
          <w:sz w:val="22"/>
          <w:szCs w:val="22"/>
        </w:rPr>
        <w:lastRenderedPageBreak/>
        <w:t xml:space="preserve">ekranowanej, nie jest konieczna wymiana przewodów bezpośrednio podłączonych do fiolki zawierającej wiele dawek w przypadku </w:t>
      </w:r>
      <w:proofErr w:type="spellStart"/>
      <w:r w:rsidRPr="00635C35">
        <w:rPr>
          <w:sz w:val="22"/>
          <w:szCs w:val="22"/>
        </w:rPr>
        <w:t>każdegopacjenta</w:t>
      </w:r>
      <w:proofErr w:type="spellEnd"/>
      <w:r w:rsidRPr="00635C35">
        <w:rPr>
          <w:sz w:val="22"/>
          <w:szCs w:val="22"/>
        </w:rPr>
        <w:t>.</w:t>
      </w:r>
    </w:p>
    <w:p w:rsidR="00D3466E" w:rsidRPr="00635C35" w:rsidRDefault="00D3466E" w:rsidP="00D3466E">
      <w:pPr>
        <w:jc w:val="both"/>
        <w:rPr>
          <w:sz w:val="22"/>
          <w:szCs w:val="22"/>
        </w:rPr>
      </w:pPr>
      <w:r w:rsidRPr="00635C35">
        <w:rPr>
          <w:sz w:val="22"/>
          <w:szCs w:val="22"/>
        </w:rPr>
        <w:t xml:space="preserve">• Przed infuzją dawki RP wskazanej dla pacjenta, system infuzyjny PET </w:t>
      </w:r>
      <w:proofErr w:type="spellStart"/>
      <w:r w:rsidRPr="00635C35">
        <w:rPr>
          <w:sz w:val="22"/>
          <w:szCs w:val="22"/>
        </w:rPr>
        <w:t>Intego</w:t>
      </w:r>
      <w:proofErr w:type="spellEnd"/>
      <w:r w:rsidRPr="00635C35">
        <w:rPr>
          <w:sz w:val="22"/>
          <w:szCs w:val="22"/>
        </w:rPr>
        <w:t xml:space="preserve">™ </w:t>
      </w:r>
      <w:proofErr w:type="spellStart"/>
      <w:r w:rsidRPr="00635C35">
        <w:rPr>
          <w:sz w:val="22"/>
          <w:szCs w:val="22"/>
        </w:rPr>
        <w:t>mierzya</w:t>
      </w:r>
      <w:proofErr w:type="spellEnd"/>
      <w:r w:rsidRPr="00635C35">
        <w:rPr>
          <w:sz w:val="22"/>
          <w:szCs w:val="22"/>
        </w:rPr>
        <w:t xml:space="preserve"> </w:t>
      </w:r>
      <w:proofErr w:type="spellStart"/>
      <w:r w:rsidRPr="00635C35">
        <w:rPr>
          <w:sz w:val="22"/>
          <w:szCs w:val="22"/>
        </w:rPr>
        <w:t>ktywność</w:t>
      </w:r>
      <w:proofErr w:type="spellEnd"/>
      <w:r w:rsidRPr="00635C35">
        <w:rPr>
          <w:sz w:val="22"/>
          <w:szCs w:val="22"/>
        </w:rPr>
        <w:t xml:space="preserve"> dawki, aby zapewnić podanie prawidłowej dawki.</w:t>
      </w:r>
    </w:p>
    <w:p w:rsidR="00D3466E" w:rsidRPr="00635C35" w:rsidRDefault="00D3466E" w:rsidP="00D3466E">
      <w:pPr>
        <w:jc w:val="both"/>
        <w:rPr>
          <w:sz w:val="22"/>
          <w:szCs w:val="22"/>
        </w:rPr>
      </w:pPr>
      <w:r w:rsidRPr="00635C35">
        <w:rPr>
          <w:sz w:val="22"/>
          <w:szCs w:val="22"/>
        </w:rPr>
        <w:t xml:space="preserve">• System infuzyjny PET </w:t>
      </w:r>
      <w:proofErr w:type="spellStart"/>
      <w:r w:rsidRPr="00635C35">
        <w:rPr>
          <w:sz w:val="22"/>
          <w:szCs w:val="22"/>
        </w:rPr>
        <w:t>Intego</w:t>
      </w:r>
      <w:proofErr w:type="spellEnd"/>
      <w:r w:rsidRPr="00635C35">
        <w:rPr>
          <w:sz w:val="22"/>
          <w:szCs w:val="22"/>
        </w:rPr>
        <w:t xml:space="preserve">™ zawiera pojemnik na odpady znajdujący się </w:t>
      </w:r>
      <w:proofErr w:type="spellStart"/>
      <w:r w:rsidRPr="00635C35">
        <w:rPr>
          <w:sz w:val="22"/>
          <w:szCs w:val="22"/>
        </w:rPr>
        <w:t>wkomorzeekranowanej</w:t>
      </w:r>
      <w:proofErr w:type="spellEnd"/>
      <w:r w:rsidRPr="00635C35">
        <w:rPr>
          <w:sz w:val="22"/>
          <w:szCs w:val="22"/>
        </w:rPr>
        <w:t xml:space="preserve">. Jeśli konieczne jest odrzucenie dawki RP, dawka jest przenoszona do pojemnika na odpady, aby zapobiec ekspozycji pacjenta lub </w:t>
      </w:r>
      <w:proofErr w:type="spellStart"/>
      <w:r w:rsidRPr="00635C35">
        <w:rPr>
          <w:sz w:val="22"/>
          <w:szCs w:val="22"/>
        </w:rPr>
        <w:t>operatoranapromieniowanie</w:t>
      </w:r>
      <w:proofErr w:type="spellEnd"/>
      <w:r w:rsidRPr="00635C35">
        <w:rPr>
          <w:sz w:val="22"/>
          <w:szCs w:val="22"/>
        </w:rPr>
        <w:t>.</w:t>
      </w:r>
    </w:p>
    <w:p w:rsidR="00D3466E" w:rsidRPr="00635C35" w:rsidRDefault="00D3466E" w:rsidP="00D3466E">
      <w:pPr>
        <w:jc w:val="both"/>
        <w:rPr>
          <w:sz w:val="22"/>
          <w:szCs w:val="22"/>
        </w:rPr>
      </w:pPr>
      <w:r w:rsidRPr="00635C35">
        <w:rPr>
          <w:sz w:val="22"/>
          <w:szCs w:val="22"/>
        </w:rPr>
        <w:t xml:space="preserve">• Pokrywa komory ekranowanej jest zabezpieczona przez wytrzymały mechanizm zatrzaskowy, który zmniejsza prawdopodobieństwo przypadkowego otwarcia </w:t>
      </w:r>
      <w:proofErr w:type="spellStart"/>
      <w:r w:rsidRPr="00635C35">
        <w:rPr>
          <w:sz w:val="22"/>
          <w:szCs w:val="22"/>
        </w:rPr>
        <w:t>komoryekranowanej</w:t>
      </w:r>
      <w:proofErr w:type="spellEnd"/>
      <w:r w:rsidRPr="00635C35">
        <w:rPr>
          <w:sz w:val="22"/>
          <w:szCs w:val="22"/>
        </w:rPr>
        <w:t xml:space="preserve"> zawierającej materiał radioaktywny. Ponadto pokrywa </w:t>
      </w:r>
      <w:proofErr w:type="spellStart"/>
      <w:r w:rsidRPr="00635C35">
        <w:rPr>
          <w:sz w:val="22"/>
          <w:szCs w:val="22"/>
        </w:rPr>
        <w:t>komoryekranowanej</w:t>
      </w:r>
      <w:proofErr w:type="spellEnd"/>
      <w:r w:rsidRPr="00635C35">
        <w:rPr>
          <w:sz w:val="22"/>
          <w:szCs w:val="22"/>
        </w:rPr>
        <w:t xml:space="preserve"> może zostać zablokowana, aby zapobiec nieuprawnionemu dostępowi do komory ekranowanej.</w:t>
      </w:r>
    </w:p>
    <w:p w:rsidR="00D3466E" w:rsidRPr="00635C35" w:rsidRDefault="00D3466E" w:rsidP="00D3466E">
      <w:pPr>
        <w:jc w:val="both"/>
        <w:rPr>
          <w:sz w:val="22"/>
          <w:szCs w:val="22"/>
        </w:rPr>
      </w:pPr>
      <w:r w:rsidRPr="00635C35">
        <w:rPr>
          <w:sz w:val="22"/>
          <w:szCs w:val="22"/>
        </w:rPr>
        <w:t xml:space="preserve">• Wyświetlacz systemu infuzyjnego PET </w:t>
      </w:r>
      <w:proofErr w:type="spellStart"/>
      <w:r w:rsidRPr="00635C35">
        <w:rPr>
          <w:sz w:val="22"/>
          <w:szCs w:val="22"/>
        </w:rPr>
        <w:t>Intego</w:t>
      </w:r>
      <w:proofErr w:type="spellEnd"/>
      <w:r w:rsidRPr="00635C35">
        <w:rPr>
          <w:sz w:val="22"/>
          <w:szCs w:val="22"/>
        </w:rPr>
        <w:t>™ może być zablokowany, aby zapobiec nieuprawnionemu dostępowi do systemu operacyjnego.</w:t>
      </w:r>
    </w:p>
    <w:p w:rsidR="00D3466E" w:rsidRPr="00635C35" w:rsidRDefault="00D3466E" w:rsidP="00D3466E">
      <w:pPr>
        <w:jc w:val="both"/>
        <w:rPr>
          <w:sz w:val="22"/>
          <w:szCs w:val="22"/>
        </w:rPr>
      </w:pPr>
      <w:r w:rsidRPr="00635C35">
        <w:rPr>
          <w:sz w:val="22"/>
          <w:szCs w:val="22"/>
        </w:rPr>
        <w:t xml:space="preserve">• System infuzyjny PET </w:t>
      </w:r>
      <w:proofErr w:type="spellStart"/>
      <w:r w:rsidRPr="00635C35">
        <w:rPr>
          <w:sz w:val="22"/>
          <w:szCs w:val="22"/>
        </w:rPr>
        <w:t>Intego</w:t>
      </w:r>
      <w:proofErr w:type="spellEnd"/>
      <w:r w:rsidRPr="00635C35">
        <w:rPr>
          <w:sz w:val="22"/>
          <w:szCs w:val="22"/>
        </w:rPr>
        <w:t>™ posiada funkcję wstrzyknięcia testowego roztworu soli fizjologicznej, który można wykorzystać do sprawdzenia drożności żyły przed infuzją.</w:t>
      </w:r>
    </w:p>
    <w:p w:rsidR="00D3466E" w:rsidRPr="00635C35" w:rsidRDefault="00D3466E" w:rsidP="00D3466E">
      <w:pPr>
        <w:jc w:val="both"/>
        <w:rPr>
          <w:sz w:val="22"/>
          <w:szCs w:val="22"/>
        </w:rPr>
      </w:pPr>
      <w:r w:rsidRPr="00635C35">
        <w:rPr>
          <w:sz w:val="22"/>
          <w:szCs w:val="22"/>
        </w:rPr>
        <w:t xml:space="preserve">• System infuzyjny PET </w:t>
      </w:r>
      <w:proofErr w:type="spellStart"/>
      <w:r w:rsidRPr="00635C35">
        <w:rPr>
          <w:sz w:val="22"/>
          <w:szCs w:val="22"/>
        </w:rPr>
        <w:t>Intego</w:t>
      </w:r>
      <w:proofErr w:type="spellEnd"/>
      <w:r w:rsidRPr="00635C35">
        <w:rPr>
          <w:sz w:val="22"/>
          <w:szCs w:val="22"/>
        </w:rPr>
        <w:t xml:space="preserve">™ jest wyposażony w system wykrywania powietrza, </w:t>
      </w:r>
      <w:proofErr w:type="spellStart"/>
      <w:r w:rsidRPr="00635C35">
        <w:rPr>
          <w:sz w:val="22"/>
          <w:szCs w:val="22"/>
        </w:rPr>
        <w:t>któryautomatycznie</w:t>
      </w:r>
      <w:proofErr w:type="spellEnd"/>
      <w:r w:rsidRPr="00635C35">
        <w:rPr>
          <w:sz w:val="22"/>
          <w:szCs w:val="22"/>
        </w:rPr>
        <w:t xml:space="preserve"> rozbraja system infuzyjny PET </w:t>
      </w:r>
      <w:proofErr w:type="spellStart"/>
      <w:r w:rsidRPr="00635C35">
        <w:rPr>
          <w:sz w:val="22"/>
          <w:szCs w:val="22"/>
        </w:rPr>
        <w:t>Intego</w:t>
      </w:r>
      <w:proofErr w:type="spellEnd"/>
      <w:r w:rsidRPr="00635C35">
        <w:rPr>
          <w:sz w:val="22"/>
          <w:szCs w:val="22"/>
        </w:rPr>
        <w:t>™, gdy wykryte zostanie powietrze w zestawie SAS.</w:t>
      </w:r>
    </w:p>
    <w:p w:rsidR="00D3466E" w:rsidRPr="00635C35" w:rsidRDefault="00D3466E" w:rsidP="00D3466E">
      <w:pPr>
        <w:jc w:val="both"/>
        <w:rPr>
          <w:sz w:val="22"/>
          <w:szCs w:val="22"/>
        </w:rPr>
      </w:pPr>
      <w:r w:rsidRPr="00635C35">
        <w:rPr>
          <w:sz w:val="22"/>
          <w:szCs w:val="22"/>
        </w:rPr>
        <w:t xml:space="preserve">• Zestaw PAS systemu infuzyjnego PET </w:t>
      </w:r>
      <w:proofErr w:type="spellStart"/>
      <w:r w:rsidRPr="00635C35">
        <w:rPr>
          <w:sz w:val="22"/>
          <w:szCs w:val="22"/>
        </w:rPr>
        <w:t>Intego</w:t>
      </w:r>
      <w:proofErr w:type="spellEnd"/>
      <w:r w:rsidRPr="00635C35">
        <w:rPr>
          <w:sz w:val="22"/>
          <w:szCs w:val="22"/>
        </w:rPr>
        <w:t>™ jest wyposażony w jednokierunkowy zawór zwrotny, który zapobiega przepływowi wstecznemu płynów do zestawu SAS.</w:t>
      </w:r>
    </w:p>
    <w:p w:rsidR="00D3466E" w:rsidRDefault="00D3466E" w:rsidP="00C83C1B">
      <w:pPr>
        <w:jc w:val="both"/>
        <w:rPr>
          <w:sz w:val="22"/>
          <w:szCs w:val="22"/>
        </w:rPr>
      </w:pPr>
    </w:p>
    <w:p w:rsidR="00931CCC" w:rsidRDefault="00931CCC" w:rsidP="00C83C1B">
      <w:pPr>
        <w:jc w:val="both"/>
        <w:rPr>
          <w:rFonts w:ascii="Arial" w:hAnsi="Arial" w:cs="Arial"/>
          <w:b/>
          <w:sz w:val="22"/>
          <w:szCs w:val="22"/>
          <w:u w:val="single"/>
        </w:rPr>
      </w:pPr>
      <w:r w:rsidRPr="00931CCC">
        <w:rPr>
          <w:rFonts w:ascii="Arial" w:hAnsi="Arial" w:cs="Arial"/>
          <w:b/>
          <w:sz w:val="22"/>
          <w:szCs w:val="22"/>
          <w:u w:val="single"/>
        </w:rPr>
        <w:t>Zapytania nr 10 z dnia 14.06.2018</w:t>
      </w:r>
    </w:p>
    <w:p w:rsidR="00931CCC" w:rsidRDefault="00931CCC" w:rsidP="00931CCC">
      <w:pPr>
        <w:pStyle w:val="Default"/>
      </w:pPr>
    </w:p>
    <w:p w:rsidR="00931CCC" w:rsidRDefault="00931CCC" w:rsidP="00931CCC">
      <w:pPr>
        <w:pStyle w:val="Default"/>
        <w:rPr>
          <w:sz w:val="23"/>
          <w:szCs w:val="23"/>
        </w:rPr>
      </w:pPr>
      <w:r>
        <w:t xml:space="preserve"> </w:t>
      </w:r>
      <w:r>
        <w:rPr>
          <w:sz w:val="23"/>
          <w:szCs w:val="23"/>
        </w:rPr>
        <w:t xml:space="preserve">Pytanie 1 pkt.6 </w:t>
      </w:r>
    </w:p>
    <w:p w:rsidR="00931CCC" w:rsidRDefault="00931CCC" w:rsidP="00931CCC">
      <w:pPr>
        <w:pStyle w:val="Default"/>
        <w:rPr>
          <w:sz w:val="23"/>
          <w:szCs w:val="23"/>
        </w:rPr>
      </w:pPr>
      <w:r>
        <w:rPr>
          <w:sz w:val="23"/>
          <w:szCs w:val="23"/>
        </w:rPr>
        <w:t xml:space="preserve">Czy Zamawiający dopuści respirator bez szuflad, w czasie badania personel nie przeprowadza żadnych czynności wymagających dodatkowego osprzętu ? </w:t>
      </w:r>
    </w:p>
    <w:p w:rsidR="00931CCC" w:rsidRDefault="00931CCC" w:rsidP="00931CCC">
      <w:pPr>
        <w:pStyle w:val="Default"/>
        <w:rPr>
          <w:sz w:val="23"/>
          <w:szCs w:val="23"/>
        </w:rPr>
      </w:pPr>
      <w:r>
        <w:rPr>
          <w:sz w:val="23"/>
          <w:szCs w:val="23"/>
        </w:rPr>
        <w:t xml:space="preserve">Pytanie 2 pkt. 8 i 11 </w:t>
      </w:r>
    </w:p>
    <w:p w:rsidR="00931CCC" w:rsidRDefault="00931CCC" w:rsidP="00931CCC">
      <w:pPr>
        <w:pStyle w:val="Default"/>
        <w:rPr>
          <w:sz w:val="23"/>
          <w:szCs w:val="23"/>
        </w:rPr>
      </w:pPr>
      <w:r>
        <w:rPr>
          <w:sz w:val="23"/>
          <w:szCs w:val="23"/>
        </w:rPr>
        <w:t xml:space="preserve">Czy Zamawiający dopuści respirator zasilany w powietrze wbudowaną turbiną, system taki kompensuje braku tlenu, dostarczając powietrze z turbiny ? </w:t>
      </w:r>
    </w:p>
    <w:p w:rsidR="00931CCC" w:rsidRDefault="00931CCC" w:rsidP="00931CCC">
      <w:pPr>
        <w:pStyle w:val="Default"/>
        <w:rPr>
          <w:sz w:val="23"/>
          <w:szCs w:val="23"/>
        </w:rPr>
      </w:pPr>
      <w:r>
        <w:rPr>
          <w:sz w:val="23"/>
          <w:szCs w:val="23"/>
        </w:rPr>
        <w:t xml:space="preserve">Pytanie 3 pkt.12,13 i 15 </w:t>
      </w:r>
    </w:p>
    <w:p w:rsidR="00931CCC" w:rsidRDefault="00931CCC" w:rsidP="00931CCC">
      <w:pPr>
        <w:pStyle w:val="Default"/>
        <w:rPr>
          <w:sz w:val="23"/>
          <w:szCs w:val="23"/>
        </w:rPr>
      </w:pPr>
      <w:r>
        <w:rPr>
          <w:sz w:val="23"/>
          <w:szCs w:val="23"/>
        </w:rPr>
        <w:t xml:space="preserve">Czy Zamawiający dopuści respirator zasilany awaryjnie przez min. 8 godzin z akumulatorów wewnętrznych bez zasilania 12V, czas awaryjnej pracy przez 8 h wystarcza do przeprowadzenia każdego badania? </w:t>
      </w:r>
    </w:p>
    <w:p w:rsidR="00931CCC" w:rsidRDefault="00931CCC" w:rsidP="00931CCC">
      <w:pPr>
        <w:pStyle w:val="Default"/>
        <w:rPr>
          <w:sz w:val="23"/>
          <w:szCs w:val="23"/>
        </w:rPr>
      </w:pPr>
      <w:r>
        <w:rPr>
          <w:sz w:val="23"/>
          <w:szCs w:val="23"/>
        </w:rPr>
        <w:t xml:space="preserve">Pytanie 4 pkt.25 i 26 </w:t>
      </w:r>
    </w:p>
    <w:p w:rsidR="00931CCC" w:rsidRDefault="00931CCC" w:rsidP="00931CCC">
      <w:pPr>
        <w:pStyle w:val="Default"/>
        <w:rPr>
          <w:sz w:val="23"/>
          <w:szCs w:val="23"/>
        </w:rPr>
      </w:pPr>
      <w:r>
        <w:rPr>
          <w:sz w:val="23"/>
          <w:szCs w:val="23"/>
        </w:rPr>
        <w:t xml:space="preserve">Czy Zamawiający dopuści respirator regulowanym wyzwalaniem przepływowym, bez wyzwalania oddechu ciśnieniowo? </w:t>
      </w:r>
    </w:p>
    <w:p w:rsidR="00931CCC" w:rsidRDefault="00931CCC" w:rsidP="00931CCC">
      <w:pPr>
        <w:pStyle w:val="Default"/>
        <w:rPr>
          <w:sz w:val="23"/>
          <w:szCs w:val="23"/>
        </w:rPr>
      </w:pPr>
      <w:r>
        <w:rPr>
          <w:sz w:val="23"/>
          <w:szCs w:val="23"/>
        </w:rPr>
        <w:t xml:space="preserve">Pytanie 5 pkt.31 </w:t>
      </w:r>
    </w:p>
    <w:p w:rsidR="00931CCC" w:rsidRDefault="00931CCC" w:rsidP="00931CCC">
      <w:pPr>
        <w:pStyle w:val="Default"/>
        <w:rPr>
          <w:sz w:val="23"/>
          <w:szCs w:val="23"/>
        </w:rPr>
      </w:pPr>
      <w:r>
        <w:rPr>
          <w:sz w:val="23"/>
          <w:szCs w:val="23"/>
        </w:rPr>
        <w:t xml:space="preserve">Czy Zamawiający dopuści respirator z automatyczną kompensacją podatności bez jej wyłączania ? </w:t>
      </w:r>
    </w:p>
    <w:p w:rsidR="00931CCC" w:rsidRDefault="00931CCC" w:rsidP="00931CCC">
      <w:pPr>
        <w:pStyle w:val="Default"/>
        <w:rPr>
          <w:sz w:val="23"/>
          <w:szCs w:val="23"/>
        </w:rPr>
      </w:pPr>
      <w:r>
        <w:rPr>
          <w:sz w:val="23"/>
          <w:szCs w:val="23"/>
        </w:rPr>
        <w:t xml:space="preserve">Pytanie 6 pkt.4 i 34 </w:t>
      </w:r>
    </w:p>
    <w:p w:rsidR="00931CCC" w:rsidRDefault="00931CCC" w:rsidP="00931CCC">
      <w:pPr>
        <w:pStyle w:val="Default"/>
        <w:rPr>
          <w:sz w:val="23"/>
          <w:szCs w:val="23"/>
        </w:rPr>
      </w:pPr>
      <w:r>
        <w:rPr>
          <w:sz w:val="23"/>
          <w:szCs w:val="23"/>
        </w:rPr>
        <w:t xml:space="preserve">Czy Zamawiający dopuści respirator z minimalną objętością wdechu dla noworodków od 20 ml? </w:t>
      </w:r>
    </w:p>
    <w:p w:rsidR="00931CCC" w:rsidRDefault="00931CCC" w:rsidP="00931CCC">
      <w:pPr>
        <w:pStyle w:val="Default"/>
        <w:rPr>
          <w:sz w:val="23"/>
          <w:szCs w:val="23"/>
        </w:rPr>
      </w:pPr>
      <w:r>
        <w:rPr>
          <w:sz w:val="23"/>
          <w:szCs w:val="23"/>
        </w:rPr>
        <w:t xml:space="preserve">Pytanie 7 pkt.33 </w:t>
      </w:r>
    </w:p>
    <w:p w:rsidR="00931CCC" w:rsidRDefault="00931CCC" w:rsidP="00931CCC">
      <w:pPr>
        <w:pStyle w:val="Default"/>
        <w:rPr>
          <w:sz w:val="23"/>
          <w:szCs w:val="23"/>
        </w:rPr>
      </w:pPr>
      <w:r>
        <w:rPr>
          <w:sz w:val="23"/>
          <w:szCs w:val="23"/>
        </w:rPr>
        <w:t xml:space="preserve">Czy Zamawiający dopuści respirator z zakresem częstości oddechowej 1-80 oddechów./min ? </w:t>
      </w:r>
    </w:p>
    <w:p w:rsidR="00931CCC" w:rsidRDefault="00931CCC" w:rsidP="00931CCC">
      <w:pPr>
        <w:pStyle w:val="Default"/>
        <w:rPr>
          <w:sz w:val="23"/>
          <w:szCs w:val="23"/>
        </w:rPr>
      </w:pPr>
      <w:r>
        <w:rPr>
          <w:sz w:val="23"/>
          <w:szCs w:val="23"/>
        </w:rPr>
        <w:t xml:space="preserve">Pytanie 8 pkt.35 </w:t>
      </w:r>
    </w:p>
    <w:p w:rsidR="00931CCC" w:rsidRDefault="00931CCC" w:rsidP="00931CCC">
      <w:pPr>
        <w:pStyle w:val="Default"/>
        <w:rPr>
          <w:sz w:val="23"/>
          <w:szCs w:val="23"/>
        </w:rPr>
      </w:pPr>
      <w:r>
        <w:rPr>
          <w:sz w:val="23"/>
          <w:szCs w:val="23"/>
        </w:rPr>
        <w:t xml:space="preserve">Czy Zamawiający dopuści respirator o regulowanym stosunku czasu wdechu do wydechu w zakresie 4:1 - 1:9 w trybie VC i PC </w:t>
      </w:r>
    </w:p>
    <w:p w:rsidR="00931CCC" w:rsidRDefault="00931CCC" w:rsidP="00931CCC">
      <w:pPr>
        <w:pStyle w:val="Default"/>
        <w:rPr>
          <w:sz w:val="23"/>
          <w:szCs w:val="23"/>
        </w:rPr>
      </w:pPr>
      <w:r>
        <w:rPr>
          <w:sz w:val="23"/>
          <w:szCs w:val="23"/>
        </w:rPr>
        <w:t xml:space="preserve">Pytanie 9 pkt.38,39,40 </w:t>
      </w:r>
    </w:p>
    <w:p w:rsidR="00931CCC" w:rsidRDefault="00931CCC" w:rsidP="00931CCC">
      <w:pPr>
        <w:pStyle w:val="Default"/>
        <w:rPr>
          <w:sz w:val="23"/>
          <w:szCs w:val="23"/>
        </w:rPr>
      </w:pPr>
      <w:r>
        <w:rPr>
          <w:sz w:val="23"/>
          <w:szCs w:val="23"/>
        </w:rPr>
        <w:t xml:space="preserve">Czy Zamawiający dopuści respirator o regulowanych ciśnieniach: wdechowe PCV (zakres 5-60 cmH2O), wspomagania PSV (zakres 0-60 cmH2O), PEEP/CPAP zakres 0- 35 cmH2O ? </w:t>
      </w:r>
    </w:p>
    <w:p w:rsidR="00931CCC" w:rsidRDefault="00931CCC" w:rsidP="00931CCC">
      <w:pPr>
        <w:pStyle w:val="Default"/>
        <w:rPr>
          <w:sz w:val="23"/>
          <w:szCs w:val="23"/>
        </w:rPr>
      </w:pPr>
      <w:r>
        <w:rPr>
          <w:sz w:val="23"/>
          <w:szCs w:val="23"/>
        </w:rPr>
        <w:t xml:space="preserve">Pytanie 10 pkt.42 </w:t>
      </w:r>
    </w:p>
    <w:p w:rsidR="00931CCC" w:rsidRDefault="00931CCC" w:rsidP="00931CCC">
      <w:pPr>
        <w:pStyle w:val="Default"/>
        <w:rPr>
          <w:sz w:val="23"/>
          <w:szCs w:val="23"/>
        </w:rPr>
      </w:pPr>
      <w:r>
        <w:rPr>
          <w:sz w:val="23"/>
          <w:szCs w:val="23"/>
        </w:rPr>
        <w:t xml:space="preserve">Czy Zamawiający dopuści respirator z ekranem 8,4” na stałe zamontowanym w respiratorze? </w:t>
      </w:r>
    </w:p>
    <w:p w:rsidR="00931CCC" w:rsidRDefault="00931CCC" w:rsidP="00931CCC">
      <w:pPr>
        <w:pStyle w:val="Default"/>
        <w:rPr>
          <w:sz w:val="23"/>
          <w:szCs w:val="23"/>
        </w:rPr>
      </w:pPr>
      <w:r>
        <w:rPr>
          <w:sz w:val="23"/>
          <w:szCs w:val="23"/>
        </w:rPr>
        <w:t xml:space="preserve">Pytanie 11 pkt.44 </w:t>
      </w:r>
    </w:p>
    <w:p w:rsidR="00931CCC" w:rsidRDefault="00931CCC" w:rsidP="00931CCC">
      <w:pPr>
        <w:pStyle w:val="Default"/>
        <w:rPr>
          <w:sz w:val="23"/>
          <w:szCs w:val="23"/>
        </w:rPr>
      </w:pPr>
      <w:r>
        <w:rPr>
          <w:sz w:val="23"/>
          <w:szCs w:val="23"/>
        </w:rPr>
        <w:t xml:space="preserve">Czy Zamawiający dopuści respirator z ekranem o jasności przełączanej dzień /noc? </w:t>
      </w:r>
    </w:p>
    <w:p w:rsidR="00931CCC" w:rsidRDefault="00931CCC" w:rsidP="00931CCC">
      <w:pPr>
        <w:pStyle w:val="Default"/>
        <w:rPr>
          <w:sz w:val="23"/>
          <w:szCs w:val="23"/>
        </w:rPr>
      </w:pPr>
      <w:r>
        <w:rPr>
          <w:sz w:val="23"/>
          <w:szCs w:val="23"/>
        </w:rPr>
        <w:t xml:space="preserve">Pytanie 12 pkt.45 </w:t>
      </w:r>
    </w:p>
    <w:p w:rsidR="00931CCC" w:rsidRDefault="00931CCC" w:rsidP="00931CCC">
      <w:pPr>
        <w:jc w:val="both"/>
        <w:rPr>
          <w:sz w:val="23"/>
          <w:szCs w:val="23"/>
        </w:rPr>
      </w:pPr>
      <w:r>
        <w:rPr>
          <w:sz w:val="23"/>
          <w:szCs w:val="23"/>
        </w:rPr>
        <w:t>Czy Zamawiający dopuści respirator z czujnikiem tlenu galwanicznym ?</w:t>
      </w:r>
    </w:p>
    <w:p w:rsidR="00931CCC" w:rsidRDefault="00931CCC" w:rsidP="00931CCC">
      <w:pPr>
        <w:pStyle w:val="Default"/>
        <w:rPr>
          <w:sz w:val="23"/>
          <w:szCs w:val="23"/>
        </w:rPr>
      </w:pPr>
      <w:r>
        <w:rPr>
          <w:sz w:val="23"/>
          <w:szCs w:val="23"/>
        </w:rPr>
        <w:t xml:space="preserve">Pytanie 13 pkt.49 </w:t>
      </w:r>
    </w:p>
    <w:p w:rsidR="00931CCC" w:rsidRDefault="00931CCC" w:rsidP="00931CCC">
      <w:pPr>
        <w:pStyle w:val="Default"/>
        <w:rPr>
          <w:sz w:val="23"/>
          <w:szCs w:val="23"/>
        </w:rPr>
      </w:pPr>
      <w:r>
        <w:rPr>
          <w:sz w:val="23"/>
          <w:szCs w:val="23"/>
        </w:rPr>
        <w:lastRenderedPageBreak/>
        <w:t xml:space="preserve">Czy Zamawiający dopuści respirator z pomiarem wydechowej objętości całkowitej wentylacji minutowej (wartość cyfrowa)? </w:t>
      </w:r>
    </w:p>
    <w:p w:rsidR="00931CCC" w:rsidRDefault="00931CCC" w:rsidP="00931CCC">
      <w:pPr>
        <w:pStyle w:val="Default"/>
        <w:rPr>
          <w:sz w:val="23"/>
          <w:szCs w:val="23"/>
        </w:rPr>
      </w:pPr>
      <w:r>
        <w:rPr>
          <w:sz w:val="23"/>
          <w:szCs w:val="23"/>
        </w:rPr>
        <w:t xml:space="preserve">Pytanie 14 pkt.53 i 54 </w:t>
      </w:r>
    </w:p>
    <w:p w:rsidR="00931CCC" w:rsidRDefault="00931CCC" w:rsidP="00931CCC">
      <w:pPr>
        <w:pStyle w:val="Default"/>
        <w:rPr>
          <w:sz w:val="23"/>
          <w:szCs w:val="23"/>
        </w:rPr>
      </w:pPr>
      <w:r>
        <w:rPr>
          <w:sz w:val="23"/>
          <w:szCs w:val="23"/>
        </w:rPr>
        <w:t xml:space="preserve">Czy Zamawiający dopuści respirator pomiarem PEEP i Auto PEEP? </w:t>
      </w:r>
    </w:p>
    <w:p w:rsidR="00931CCC" w:rsidRDefault="00931CCC" w:rsidP="00931CCC">
      <w:pPr>
        <w:pStyle w:val="Default"/>
        <w:rPr>
          <w:sz w:val="23"/>
          <w:szCs w:val="23"/>
        </w:rPr>
      </w:pPr>
      <w:r>
        <w:rPr>
          <w:sz w:val="23"/>
          <w:szCs w:val="23"/>
        </w:rPr>
        <w:t xml:space="preserve">Pytanie 15 pkt.57 </w:t>
      </w:r>
    </w:p>
    <w:p w:rsidR="00931CCC" w:rsidRDefault="00931CCC" w:rsidP="00931CCC">
      <w:pPr>
        <w:pStyle w:val="Default"/>
        <w:rPr>
          <w:sz w:val="23"/>
          <w:szCs w:val="23"/>
        </w:rPr>
      </w:pPr>
      <w:r>
        <w:rPr>
          <w:sz w:val="23"/>
          <w:szCs w:val="23"/>
        </w:rPr>
        <w:t xml:space="preserve">Czy Zamawiający dopuści respirator bez pomiaru pracy oddechowej , ale mierzącym współczynnik PTP (wysiłek pacjenta) ? </w:t>
      </w:r>
    </w:p>
    <w:p w:rsidR="00931CCC" w:rsidRDefault="00931CCC" w:rsidP="00931CCC">
      <w:pPr>
        <w:pStyle w:val="Default"/>
        <w:rPr>
          <w:sz w:val="23"/>
          <w:szCs w:val="23"/>
        </w:rPr>
      </w:pPr>
      <w:r>
        <w:rPr>
          <w:sz w:val="23"/>
          <w:szCs w:val="23"/>
        </w:rPr>
        <w:t xml:space="preserve">Pytanie 16 pkt.58 </w:t>
      </w:r>
    </w:p>
    <w:p w:rsidR="00931CCC" w:rsidRDefault="00931CCC" w:rsidP="00931CCC">
      <w:pPr>
        <w:pStyle w:val="Default"/>
        <w:rPr>
          <w:sz w:val="23"/>
          <w:szCs w:val="23"/>
        </w:rPr>
      </w:pPr>
      <w:r>
        <w:rPr>
          <w:sz w:val="23"/>
          <w:szCs w:val="23"/>
        </w:rPr>
        <w:t xml:space="preserve">Czy Zamawiający dopuści respirator z pomiarem podatności statycznej ? </w:t>
      </w:r>
    </w:p>
    <w:p w:rsidR="00931CCC" w:rsidRDefault="00931CCC" w:rsidP="00931CCC">
      <w:pPr>
        <w:pStyle w:val="Default"/>
        <w:rPr>
          <w:sz w:val="23"/>
          <w:szCs w:val="23"/>
        </w:rPr>
      </w:pPr>
      <w:r>
        <w:rPr>
          <w:sz w:val="23"/>
          <w:szCs w:val="23"/>
        </w:rPr>
        <w:t xml:space="preserve">Pytanie 17 pkt.59 </w:t>
      </w:r>
    </w:p>
    <w:p w:rsidR="00931CCC" w:rsidRDefault="00931CCC" w:rsidP="00931CCC">
      <w:pPr>
        <w:pStyle w:val="Default"/>
        <w:rPr>
          <w:sz w:val="23"/>
          <w:szCs w:val="23"/>
        </w:rPr>
      </w:pPr>
      <w:r>
        <w:rPr>
          <w:sz w:val="23"/>
          <w:szCs w:val="23"/>
        </w:rPr>
        <w:t xml:space="preserve">Czy Zamawiający dopuści respirator z pomiarem oporów wdechowych? </w:t>
      </w:r>
    </w:p>
    <w:p w:rsidR="00931CCC" w:rsidRDefault="00931CCC" w:rsidP="00931CCC">
      <w:pPr>
        <w:pStyle w:val="Default"/>
        <w:rPr>
          <w:sz w:val="23"/>
          <w:szCs w:val="23"/>
        </w:rPr>
      </w:pPr>
      <w:r>
        <w:rPr>
          <w:sz w:val="23"/>
          <w:szCs w:val="23"/>
        </w:rPr>
        <w:t xml:space="preserve">Pytanie 18 pkt. 69 </w:t>
      </w:r>
    </w:p>
    <w:p w:rsidR="00931CCC" w:rsidRDefault="00931CCC" w:rsidP="00931CCC">
      <w:pPr>
        <w:pStyle w:val="Default"/>
        <w:rPr>
          <w:sz w:val="23"/>
          <w:szCs w:val="23"/>
        </w:rPr>
      </w:pPr>
      <w:r>
        <w:rPr>
          <w:sz w:val="23"/>
          <w:szCs w:val="23"/>
        </w:rPr>
        <w:t xml:space="preserve">Czy Zamawiający dopuści respirator z alarmem niskiego ciśnienia PEEP? </w:t>
      </w:r>
    </w:p>
    <w:p w:rsidR="00931CCC" w:rsidRDefault="00931CCC" w:rsidP="00931CCC">
      <w:pPr>
        <w:pStyle w:val="Default"/>
        <w:rPr>
          <w:sz w:val="23"/>
          <w:szCs w:val="23"/>
        </w:rPr>
      </w:pPr>
      <w:r>
        <w:rPr>
          <w:sz w:val="23"/>
          <w:szCs w:val="23"/>
        </w:rPr>
        <w:t xml:space="preserve">Pytanie 19 pkt. 76,77 </w:t>
      </w:r>
    </w:p>
    <w:p w:rsidR="00931CCC" w:rsidRDefault="00931CCC" w:rsidP="00931CCC">
      <w:pPr>
        <w:pStyle w:val="Default"/>
        <w:rPr>
          <w:sz w:val="23"/>
          <w:szCs w:val="23"/>
        </w:rPr>
      </w:pPr>
      <w:r>
        <w:rPr>
          <w:sz w:val="23"/>
          <w:szCs w:val="23"/>
        </w:rPr>
        <w:t xml:space="preserve">Czy Zamawiający dopuści respirator z układem pomiarowym przepływu typu proksymalnego wielokrotnego lub jednorazowego użytku do wyboru? </w:t>
      </w:r>
    </w:p>
    <w:p w:rsidR="00931CCC" w:rsidRDefault="00931CCC" w:rsidP="00931CCC">
      <w:pPr>
        <w:pStyle w:val="Default"/>
        <w:rPr>
          <w:sz w:val="23"/>
          <w:szCs w:val="23"/>
        </w:rPr>
      </w:pPr>
      <w:r>
        <w:rPr>
          <w:sz w:val="23"/>
          <w:szCs w:val="23"/>
        </w:rPr>
        <w:t xml:space="preserve">Pytanie 20 pkt. 82 </w:t>
      </w:r>
    </w:p>
    <w:p w:rsidR="00931CCC" w:rsidRDefault="00931CCC" w:rsidP="00931CCC">
      <w:pPr>
        <w:jc w:val="both"/>
        <w:rPr>
          <w:sz w:val="23"/>
          <w:szCs w:val="23"/>
        </w:rPr>
      </w:pPr>
      <w:r>
        <w:rPr>
          <w:sz w:val="23"/>
          <w:szCs w:val="23"/>
        </w:rPr>
        <w:t>Czy Zamawiający dopuści respirator z układem pomiarowym przepływu umieszczonym bezpośrednio przy rurce intubacyjnej do wyboru w wersji: układ wielorazowy wszystkie elementy układu pacjenta, łącznie z zastawka wydechową i przepływomierzem podlegają jednoczesnej sterylizacji lub kompletny fabrycznie zmontowany układ z jednorazową zastawką wydechową i jednorazowym czujnikiem przepływu?</w:t>
      </w:r>
    </w:p>
    <w:p w:rsidR="00931CCC" w:rsidRDefault="00931CCC" w:rsidP="00931CCC">
      <w:pPr>
        <w:jc w:val="both"/>
        <w:rPr>
          <w:rFonts w:ascii="Arial" w:hAnsi="Arial" w:cs="Arial"/>
          <w:b/>
          <w:sz w:val="22"/>
          <w:szCs w:val="22"/>
          <w:u w:val="single"/>
        </w:rPr>
      </w:pPr>
    </w:p>
    <w:p w:rsidR="00931CCC" w:rsidRDefault="004B3209" w:rsidP="00931CCC">
      <w:pPr>
        <w:jc w:val="both"/>
        <w:rPr>
          <w:rFonts w:ascii="Arial" w:hAnsi="Arial" w:cs="Arial"/>
          <w:b/>
          <w:sz w:val="22"/>
          <w:szCs w:val="22"/>
          <w:u w:val="single"/>
        </w:rPr>
      </w:pPr>
      <w:r>
        <w:rPr>
          <w:rFonts w:ascii="Arial" w:hAnsi="Arial" w:cs="Arial"/>
          <w:b/>
          <w:sz w:val="22"/>
          <w:szCs w:val="22"/>
          <w:u w:val="single"/>
        </w:rPr>
        <w:t>Zapytania nr 11 z dnia 14.06.2018</w:t>
      </w:r>
    </w:p>
    <w:p w:rsidR="004B3209" w:rsidRDefault="004B3209" w:rsidP="00931CCC">
      <w:pPr>
        <w:jc w:val="both"/>
        <w:rPr>
          <w:rFonts w:ascii="Arial" w:hAnsi="Arial" w:cs="Arial"/>
          <w:b/>
          <w:sz w:val="22"/>
          <w:szCs w:val="22"/>
          <w:u w:val="single"/>
        </w:rPr>
      </w:pPr>
    </w:p>
    <w:p w:rsidR="004B3209" w:rsidRDefault="004B3209" w:rsidP="004B3209">
      <w:pPr>
        <w:rPr>
          <w:rFonts w:ascii="Arial Narrow" w:eastAsia="Calibri" w:hAnsi="Arial Narrow" w:cs="Arial"/>
          <w:sz w:val="20"/>
          <w:szCs w:val="20"/>
          <w:lang w:eastAsia="en-US"/>
        </w:rPr>
      </w:pPr>
    </w:p>
    <w:p w:rsidR="004B3209" w:rsidRDefault="004B3209" w:rsidP="004B3209">
      <w:pPr>
        <w:rPr>
          <w:rFonts w:ascii="Arial Narrow" w:hAnsi="Arial Narrow"/>
          <w:b/>
          <w:color w:val="FF0000"/>
          <w:sz w:val="20"/>
        </w:rPr>
      </w:pPr>
      <w:r>
        <w:rPr>
          <w:rFonts w:ascii="Arial Narrow" w:hAnsi="Arial Narrow"/>
          <w:b/>
          <w:sz w:val="20"/>
        </w:rPr>
        <w:t>1)  Załącznik nr 1 - Oferta techniczna, cześć PET CT, LP 143</w:t>
      </w:r>
    </w:p>
    <w:p w:rsidR="004B3209" w:rsidRDefault="004B3209" w:rsidP="004B3209">
      <w:pPr>
        <w:rPr>
          <w:rFonts w:ascii="Arial Narrow" w:hAnsi="Arial Narrow"/>
          <w:sz w:val="20"/>
        </w:rPr>
      </w:pPr>
    </w:p>
    <w:p w:rsidR="004B3209" w:rsidRDefault="004B3209" w:rsidP="004B3209">
      <w:pPr>
        <w:autoSpaceDE w:val="0"/>
        <w:autoSpaceDN w:val="0"/>
        <w:adjustRightInd w:val="0"/>
        <w:jc w:val="both"/>
        <w:rPr>
          <w:rFonts w:ascii="Arial Narrow" w:eastAsia="Calibri" w:hAnsi="Arial Narrow" w:cs="TimesNewRomanPS-BoldMT"/>
          <w:bCs/>
          <w:color w:val="2E2014"/>
          <w:sz w:val="20"/>
          <w:lang w:eastAsia="pl-PL"/>
        </w:rPr>
      </w:pPr>
      <w:r>
        <w:rPr>
          <w:rFonts w:ascii="Arial Narrow" w:hAnsi="Arial Narrow"/>
          <w:sz w:val="20"/>
        </w:rPr>
        <w:t>Prosimy o potwierdzenie że wyposażenie,  wymienione w cytowanym punkcie 143 a umożliwiające przygotowanie dawek</w:t>
      </w:r>
      <w:r>
        <w:rPr>
          <w:rFonts w:ascii="Arial Narrow" w:hAnsi="Arial Narrow"/>
          <w:sz w:val="20"/>
        </w:rPr>
        <w:br/>
        <w:t xml:space="preserve">do badania PET powinno być zgodne z Obwieszczeniem Ministra Zdrowia z dnia 3 kwietnia 2017 r. w sprawie ogłoszenia jednolitego tekstu rozporządzenia Ministra Zdrowia w sprawie warunków bezpiecznego stosowania promieniowania jonizującego dla wszystkich rodzajów ekspozycji medycznej, Dz.U. 2017 poz. 884, </w:t>
      </w:r>
      <w:r>
        <w:rPr>
          <w:rFonts w:ascii="Arial Narrow" w:eastAsia="Calibri" w:hAnsi="Arial Narrow" w:cs="TimesNewRomanPSMT"/>
          <w:b/>
          <w:color w:val="2E2014"/>
          <w:sz w:val="20"/>
          <w:lang w:eastAsia="pl-PL"/>
        </w:rPr>
        <w:t>Rozdział 3 „</w:t>
      </w:r>
      <w:r>
        <w:rPr>
          <w:rFonts w:ascii="Arial Narrow" w:eastAsia="Calibri" w:hAnsi="Arial Narrow" w:cs="TimesNewRomanPS-BoldMT"/>
          <w:b/>
          <w:bCs/>
          <w:color w:val="2E2014"/>
          <w:sz w:val="20"/>
          <w:lang w:eastAsia="pl-PL"/>
        </w:rPr>
        <w:t>Medycyna nuklearna” § 14</w:t>
      </w:r>
      <w:r>
        <w:rPr>
          <w:rFonts w:ascii="Arial Narrow" w:eastAsia="Calibri" w:hAnsi="Arial Narrow" w:cs="TimesNewRomanPS-BoldMT"/>
          <w:bCs/>
          <w:color w:val="2E2014"/>
          <w:sz w:val="20"/>
          <w:lang w:eastAsia="pl-PL"/>
        </w:rPr>
        <w:t xml:space="preserve"> </w:t>
      </w:r>
    </w:p>
    <w:p w:rsidR="004B3209" w:rsidRDefault="004B3209" w:rsidP="004B3209">
      <w:pPr>
        <w:autoSpaceDE w:val="0"/>
        <w:autoSpaceDN w:val="0"/>
        <w:adjustRightInd w:val="0"/>
        <w:jc w:val="both"/>
        <w:rPr>
          <w:rFonts w:ascii="Arial Narrow" w:eastAsia="Calibri" w:hAnsi="Arial Narrow" w:cs="TimesNewRomanPS-BoldMT"/>
          <w:bCs/>
          <w:color w:val="2E2014"/>
          <w:sz w:val="20"/>
          <w:lang w:eastAsia="pl-PL"/>
        </w:rPr>
      </w:pPr>
    </w:p>
    <w:p w:rsidR="004B3209" w:rsidRDefault="004B3209" w:rsidP="004B3209">
      <w:pPr>
        <w:autoSpaceDE w:val="0"/>
        <w:autoSpaceDN w:val="0"/>
        <w:adjustRightInd w:val="0"/>
        <w:jc w:val="both"/>
        <w:rPr>
          <w:rFonts w:ascii="Arial Narrow" w:eastAsia="Calibri" w:hAnsi="Arial Narrow" w:cs="TimesNewRomanPSMT"/>
          <w:color w:val="2E2014"/>
          <w:sz w:val="20"/>
          <w:lang w:eastAsia="pl-PL"/>
        </w:rPr>
      </w:pPr>
      <w:r>
        <w:rPr>
          <w:rFonts w:ascii="Arial Narrow" w:eastAsia="Calibri" w:hAnsi="Arial Narrow" w:cs="TimesNewRomanPS-BoldMT"/>
          <w:b/>
          <w:bCs/>
          <w:color w:val="2E2014"/>
          <w:sz w:val="20"/>
          <w:lang w:eastAsia="pl-PL"/>
        </w:rPr>
        <w:t>punkt nr 1</w:t>
      </w:r>
      <w:r>
        <w:rPr>
          <w:rFonts w:ascii="Arial Narrow" w:eastAsia="Calibri" w:hAnsi="Arial Narrow" w:cs="TimesNewRomanPS-BoldMT"/>
          <w:bCs/>
          <w:color w:val="2E2014"/>
          <w:sz w:val="20"/>
          <w:lang w:eastAsia="pl-PL"/>
        </w:rPr>
        <w:t>: cyt. „</w:t>
      </w:r>
      <w:r>
        <w:rPr>
          <w:rFonts w:ascii="Arial Narrow" w:eastAsia="Calibri" w:hAnsi="Arial Narrow" w:cs="TimesNewRomanPSMT"/>
          <w:color w:val="2E2014"/>
          <w:sz w:val="20"/>
          <w:lang w:eastAsia="pl-PL"/>
        </w:rPr>
        <w:t xml:space="preserve">wszelkie czynności związane z przygotowaniem produktów </w:t>
      </w:r>
      <w:proofErr w:type="spellStart"/>
      <w:r>
        <w:rPr>
          <w:rFonts w:ascii="Arial Narrow" w:eastAsia="Calibri" w:hAnsi="Arial Narrow" w:cs="TimesNewRomanPSMT"/>
          <w:color w:val="2E2014"/>
          <w:sz w:val="20"/>
          <w:lang w:eastAsia="pl-PL"/>
        </w:rPr>
        <w:t>radiofarmaceutycznych</w:t>
      </w:r>
      <w:proofErr w:type="spellEnd"/>
      <w:r>
        <w:rPr>
          <w:rFonts w:ascii="Arial Narrow" w:eastAsia="Calibri" w:hAnsi="Arial Narrow" w:cs="TimesNewRomanPSMT"/>
          <w:color w:val="2E2014"/>
          <w:sz w:val="20"/>
          <w:lang w:eastAsia="pl-PL"/>
        </w:rPr>
        <w:t xml:space="preserve"> polegające</w:t>
      </w:r>
      <w:r>
        <w:rPr>
          <w:rFonts w:ascii="Arial Narrow" w:eastAsia="Calibri" w:hAnsi="Arial Narrow" w:cs="TimesNewRomanPSMT"/>
          <w:color w:val="2E2014"/>
          <w:sz w:val="20"/>
          <w:lang w:eastAsia="pl-PL"/>
        </w:rPr>
        <w:br/>
        <w:t xml:space="preserve">na znakowaniu gotowych zestawów lub dzieleniu większych porcji gotowych produktów </w:t>
      </w:r>
      <w:proofErr w:type="spellStart"/>
      <w:r>
        <w:rPr>
          <w:rFonts w:ascii="Arial Narrow" w:eastAsia="Calibri" w:hAnsi="Arial Narrow" w:cs="TimesNewRomanPSMT"/>
          <w:color w:val="2E2014"/>
          <w:sz w:val="20"/>
          <w:lang w:eastAsia="pl-PL"/>
        </w:rPr>
        <w:t>radiofarmaceutycznych</w:t>
      </w:r>
      <w:proofErr w:type="spellEnd"/>
      <w:r>
        <w:rPr>
          <w:rFonts w:ascii="Arial Narrow" w:eastAsia="Calibri" w:hAnsi="Arial Narrow" w:cs="TimesNewRomanPSMT"/>
          <w:color w:val="2E2014"/>
          <w:sz w:val="20"/>
          <w:lang w:eastAsia="pl-PL"/>
        </w:rPr>
        <w:t>, w celu podania pacjentom, jest wykonywane wyłącznie w przeznaczonych do tego celu pomieszczeniach wyposażonych w komory z laminarnym przepływem powietrza, zapewniających zachowanie jałowości w procesie znakowania;</w:t>
      </w:r>
    </w:p>
    <w:p w:rsidR="004B3209" w:rsidRDefault="004B3209" w:rsidP="004B3209">
      <w:pPr>
        <w:autoSpaceDE w:val="0"/>
        <w:autoSpaceDN w:val="0"/>
        <w:adjustRightInd w:val="0"/>
        <w:jc w:val="both"/>
        <w:rPr>
          <w:rFonts w:ascii="Arial Narrow" w:eastAsia="Calibri" w:hAnsi="Arial Narrow" w:cs="TimesNewRomanPS-BoldMT"/>
          <w:bCs/>
          <w:color w:val="2E2014"/>
          <w:sz w:val="20"/>
          <w:lang w:eastAsia="pl-PL"/>
        </w:rPr>
      </w:pPr>
    </w:p>
    <w:p w:rsidR="004B3209" w:rsidRDefault="004B3209" w:rsidP="004B3209">
      <w:pPr>
        <w:autoSpaceDE w:val="0"/>
        <w:autoSpaceDN w:val="0"/>
        <w:adjustRightInd w:val="0"/>
        <w:jc w:val="both"/>
        <w:rPr>
          <w:rFonts w:ascii="Arial Narrow" w:eastAsia="Calibri" w:hAnsi="Arial Narrow" w:cs="TimesNewRomanPSMT"/>
          <w:color w:val="2E2014"/>
          <w:sz w:val="20"/>
          <w:lang w:eastAsia="pl-PL"/>
        </w:rPr>
      </w:pPr>
      <w:r>
        <w:rPr>
          <w:rFonts w:ascii="Arial Narrow" w:eastAsia="Calibri" w:hAnsi="Arial Narrow" w:cs="TimesNewRomanPS-BoldMT"/>
          <w:b/>
          <w:bCs/>
          <w:color w:val="2E2014"/>
          <w:sz w:val="20"/>
          <w:lang w:eastAsia="pl-PL"/>
        </w:rPr>
        <w:t xml:space="preserve"> oraz punkt nr 4</w:t>
      </w:r>
      <w:r>
        <w:rPr>
          <w:rFonts w:ascii="Arial Narrow" w:eastAsia="Calibri" w:hAnsi="Arial Narrow" w:cs="TimesNewRomanPS-BoldMT"/>
          <w:bCs/>
          <w:color w:val="2E2014"/>
          <w:sz w:val="20"/>
          <w:lang w:eastAsia="pl-PL"/>
        </w:rPr>
        <w:t>:  cyt. „</w:t>
      </w:r>
      <w:r>
        <w:rPr>
          <w:rFonts w:ascii="Arial Narrow" w:eastAsia="Calibri" w:hAnsi="Arial Narrow" w:cs="TimesNewRomanPSMT"/>
          <w:color w:val="2E2014"/>
          <w:sz w:val="20"/>
          <w:lang w:eastAsia="pl-PL"/>
        </w:rPr>
        <w:t xml:space="preserve">każdorazowe podanie pacjentowi produktu </w:t>
      </w:r>
      <w:proofErr w:type="spellStart"/>
      <w:r>
        <w:rPr>
          <w:rFonts w:ascii="Arial Narrow" w:eastAsia="Calibri" w:hAnsi="Arial Narrow" w:cs="TimesNewRomanPSMT"/>
          <w:color w:val="2E2014"/>
          <w:sz w:val="20"/>
          <w:lang w:eastAsia="pl-PL"/>
        </w:rPr>
        <w:t>radiofarmaceutycznego</w:t>
      </w:r>
      <w:proofErr w:type="spellEnd"/>
      <w:r>
        <w:rPr>
          <w:rFonts w:ascii="Arial Narrow" w:eastAsia="Calibri" w:hAnsi="Arial Narrow" w:cs="TimesNewRomanPSMT"/>
          <w:color w:val="2E2014"/>
          <w:sz w:val="20"/>
          <w:lang w:eastAsia="pl-PL"/>
        </w:rPr>
        <w:t xml:space="preserve"> jest poprzedzone zmierzeniem aktywności tego produktu, tak aby pacjent otrzymał ilość (aktywność) produktu przepisaną przez lekarza nadzorującego lub wykonującego badanie lub leczenie;”</w:t>
      </w:r>
    </w:p>
    <w:p w:rsidR="004B3209" w:rsidRDefault="004B3209" w:rsidP="004B3209">
      <w:pPr>
        <w:autoSpaceDE w:val="0"/>
        <w:autoSpaceDN w:val="0"/>
        <w:adjustRightInd w:val="0"/>
        <w:rPr>
          <w:rFonts w:ascii="Arial Narrow" w:eastAsia="Calibri" w:hAnsi="Arial Narrow" w:cs="TimesNewRomanPS-BoldMT"/>
          <w:bCs/>
          <w:color w:val="2E2014"/>
          <w:sz w:val="20"/>
          <w:lang w:eastAsia="pl-PL"/>
        </w:rPr>
      </w:pPr>
    </w:p>
    <w:p w:rsidR="004B3209" w:rsidRDefault="00045BE5" w:rsidP="00931CCC">
      <w:pPr>
        <w:jc w:val="both"/>
        <w:rPr>
          <w:rFonts w:ascii="Arial" w:hAnsi="Arial" w:cs="Arial"/>
          <w:b/>
          <w:sz w:val="22"/>
          <w:szCs w:val="22"/>
          <w:u w:val="single"/>
        </w:rPr>
      </w:pPr>
      <w:r>
        <w:rPr>
          <w:rFonts w:ascii="Arial" w:hAnsi="Arial" w:cs="Arial"/>
          <w:b/>
          <w:sz w:val="22"/>
          <w:szCs w:val="22"/>
          <w:u w:val="single"/>
        </w:rPr>
        <w:t>Zapytania nr 12 z dnia 14.06.2018</w:t>
      </w:r>
    </w:p>
    <w:p w:rsidR="00045BE5" w:rsidRDefault="00045BE5" w:rsidP="00931CCC">
      <w:pPr>
        <w:jc w:val="both"/>
        <w:rPr>
          <w:rFonts w:ascii="Arial" w:hAnsi="Arial" w:cs="Arial"/>
          <w:b/>
          <w:sz w:val="22"/>
          <w:szCs w:val="22"/>
          <w:u w:val="single"/>
        </w:rPr>
      </w:pPr>
    </w:p>
    <w:p w:rsidR="00045BE5" w:rsidRDefault="00045BE5" w:rsidP="00045BE5">
      <w:pPr>
        <w:jc w:val="both"/>
        <w:rPr>
          <w:rFonts w:ascii="Tahoma" w:hAnsi="Tahoma" w:cs="Tahoma"/>
          <w:b/>
          <w:sz w:val="18"/>
          <w:szCs w:val="18"/>
          <w:lang w:eastAsia="pl-PL"/>
        </w:rPr>
      </w:pPr>
      <w:r>
        <w:rPr>
          <w:rFonts w:ascii="Tahoma" w:hAnsi="Tahoma" w:cs="Tahoma"/>
          <w:b/>
          <w:sz w:val="18"/>
          <w:szCs w:val="18"/>
        </w:rPr>
        <w:t>Pytanie 1</w:t>
      </w:r>
    </w:p>
    <w:p w:rsidR="00045BE5" w:rsidRDefault="00045BE5" w:rsidP="00045BE5">
      <w:pPr>
        <w:jc w:val="both"/>
        <w:rPr>
          <w:rFonts w:ascii="Tahoma" w:hAnsi="Tahoma" w:cs="Tahoma"/>
          <w:bCs/>
          <w:sz w:val="18"/>
          <w:szCs w:val="18"/>
        </w:rPr>
      </w:pPr>
      <w:r>
        <w:rPr>
          <w:rFonts w:ascii="Tahoma" w:hAnsi="Tahoma" w:cs="Tahoma"/>
          <w:bCs/>
          <w:sz w:val="18"/>
          <w:szCs w:val="18"/>
        </w:rPr>
        <w:t xml:space="preserve">Dotyczy warunków umowy § 2 ust. 4 </w:t>
      </w:r>
    </w:p>
    <w:p w:rsidR="00045BE5" w:rsidRDefault="00045BE5" w:rsidP="00045BE5">
      <w:pPr>
        <w:jc w:val="both"/>
        <w:rPr>
          <w:rFonts w:ascii="Tahoma" w:hAnsi="Tahoma" w:cs="Tahoma"/>
          <w:bCs/>
          <w:sz w:val="18"/>
          <w:szCs w:val="18"/>
        </w:rPr>
      </w:pPr>
      <w:r>
        <w:rPr>
          <w:rFonts w:ascii="Tahoma" w:hAnsi="Tahoma" w:cs="Tahoma"/>
          <w:sz w:val="18"/>
          <w:szCs w:val="18"/>
        </w:rPr>
        <w:t>Czy Zamawiający wyrazi zgodę na zmianę istniejącego zapisu na następujący:</w:t>
      </w:r>
    </w:p>
    <w:p w:rsidR="00045BE5" w:rsidRDefault="00045BE5" w:rsidP="00045BE5">
      <w:pPr>
        <w:jc w:val="both"/>
        <w:rPr>
          <w:rFonts w:ascii="Tahoma" w:hAnsi="Tahoma" w:cs="Tahoma"/>
          <w:b/>
          <w:sz w:val="18"/>
          <w:szCs w:val="18"/>
        </w:rPr>
      </w:pPr>
      <w:r>
        <w:rPr>
          <w:rFonts w:ascii="Tahoma" w:hAnsi="Tahoma" w:cs="Tahoma"/>
          <w:sz w:val="18"/>
          <w:szCs w:val="18"/>
        </w:rPr>
        <w:t>„przeprowadzenie szkolenia personelu medycznego oraz personelu technicznego (w tym zapewnienie stałego wsparcia personelu po przeprowadzeniu szkoleń), przy czym dla min. dwóch osób należy przeprowadzić certyfikowane szkolenie z zakresu realizacji podstawowej diagnostyki urządzenia.”</w:t>
      </w:r>
    </w:p>
    <w:p w:rsidR="00045BE5" w:rsidRDefault="00045BE5" w:rsidP="00045BE5">
      <w:pPr>
        <w:jc w:val="both"/>
        <w:rPr>
          <w:rFonts w:ascii="Tahoma" w:hAnsi="Tahoma" w:cs="Tahoma"/>
          <w:b/>
          <w:sz w:val="18"/>
          <w:szCs w:val="18"/>
        </w:rPr>
      </w:pPr>
    </w:p>
    <w:p w:rsidR="00045BE5" w:rsidRDefault="00045BE5" w:rsidP="00045BE5">
      <w:pPr>
        <w:jc w:val="both"/>
        <w:rPr>
          <w:rFonts w:ascii="Tahoma" w:hAnsi="Tahoma" w:cs="Tahoma"/>
          <w:b/>
          <w:sz w:val="18"/>
          <w:szCs w:val="18"/>
        </w:rPr>
      </w:pPr>
      <w:r>
        <w:rPr>
          <w:rFonts w:ascii="Tahoma" w:hAnsi="Tahoma" w:cs="Tahoma"/>
          <w:b/>
          <w:sz w:val="18"/>
          <w:szCs w:val="18"/>
        </w:rPr>
        <w:t>Pytanie 2</w:t>
      </w:r>
    </w:p>
    <w:p w:rsidR="00045BE5" w:rsidRDefault="00045BE5" w:rsidP="00045BE5">
      <w:pPr>
        <w:jc w:val="both"/>
        <w:rPr>
          <w:rFonts w:ascii="Tahoma" w:hAnsi="Tahoma" w:cs="Tahoma"/>
          <w:bCs/>
          <w:sz w:val="18"/>
          <w:szCs w:val="18"/>
        </w:rPr>
      </w:pPr>
      <w:r>
        <w:rPr>
          <w:rFonts w:ascii="Tahoma" w:hAnsi="Tahoma" w:cs="Tahoma"/>
          <w:bCs/>
          <w:sz w:val="18"/>
          <w:szCs w:val="18"/>
        </w:rPr>
        <w:t xml:space="preserve">Dotyczy warunków umowy § 15 ust. 4 </w:t>
      </w:r>
    </w:p>
    <w:p w:rsidR="00045BE5" w:rsidRDefault="00045BE5" w:rsidP="00045BE5">
      <w:pPr>
        <w:jc w:val="both"/>
        <w:rPr>
          <w:rFonts w:ascii="Tahoma" w:hAnsi="Tahoma" w:cs="Tahoma"/>
          <w:bCs/>
          <w:sz w:val="18"/>
          <w:szCs w:val="18"/>
        </w:rPr>
      </w:pPr>
      <w:r>
        <w:rPr>
          <w:rFonts w:ascii="Tahoma" w:hAnsi="Tahoma" w:cs="Tahoma"/>
          <w:sz w:val="18"/>
          <w:szCs w:val="18"/>
        </w:rPr>
        <w:t>Czy Zamawiający wyrazi zgodę na zmianę istniejącego zapisu na następujący:</w:t>
      </w:r>
    </w:p>
    <w:p w:rsidR="00045BE5" w:rsidRDefault="00045BE5" w:rsidP="00045BE5">
      <w:pPr>
        <w:jc w:val="both"/>
        <w:rPr>
          <w:rFonts w:ascii="Tahoma" w:hAnsi="Tahoma" w:cs="Tahoma"/>
          <w:b/>
          <w:sz w:val="20"/>
          <w:szCs w:val="20"/>
        </w:rPr>
      </w:pPr>
      <w:r>
        <w:rPr>
          <w:rFonts w:ascii="Tahoma" w:hAnsi="Tahoma" w:cs="Tahoma"/>
          <w:sz w:val="20"/>
          <w:szCs w:val="20"/>
        </w:rPr>
        <w:t>„Wszystkie gwarancyjne czynności serwisowe, w tym przeglądy konserwacyjne w okresie gwarancji będą wykonywane bez naliczania jakichkolwiek opłat – wynagrodzenie za ich wykonanie zawarte jest w wynagrodzeniu wskazanym w § 14 ust. 1 umowy.”</w:t>
      </w:r>
    </w:p>
    <w:p w:rsidR="00045BE5" w:rsidRDefault="00045BE5" w:rsidP="00045BE5">
      <w:pPr>
        <w:jc w:val="both"/>
        <w:rPr>
          <w:rFonts w:ascii="Tahoma" w:hAnsi="Tahoma" w:cs="Tahoma"/>
          <w:b/>
          <w:sz w:val="18"/>
          <w:szCs w:val="18"/>
        </w:rPr>
      </w:pPr>
    </w:p>
    <w:p w:rsidR="00045BE5" w:rsidRDefault="00045BE5" w:rsidP="00045BE5">
      <w:pPr>
        <w:jc w:val="both"/>
        <w:rPr>
          <w:rFonts w:ascii="Tahoma" w:hAnsi="Tahoma" w:cs="Tahoma"/>
          <w:b/>
          <w:sz w:val="18"/>
          <w:szCs w:val="18"/>
        </w:rPr>
      </w:pPr>
      <w:r>
        <w:rPr>
          <w:rFonts w:ascii="Tahoma" w:hAnsi="Tahoma" w:cs="Tahoma"/>
          <w:b/>
          <w:sz w:val="18"/>
          <w:szCs w:val="18"/>
        </w:rPr>
        <w:lastRenderedPageBreak/>
        <w:t>Pytanie 3</w:t>
      </w:r>
    </w:p>
    <w:p w:rsidR="00045BE5" w:rsidRDefault="00045BE5" w:rsidP="00045BE5">
      <w:pPr>
        <w:jc w:val="both"/>
        <w:rPr>
          <w:rFonts w:ascii="Tahoma" w:hAnsi="Tahoma" w:cs="Tahoma"/>
          <w:bCs/>
          <w:sz w:val="18"/>
          <w:szCs w:val="18"/>
        </w:rPr>
      </w:pPr>
      <w:r>
        <w:rPr>
          <w:rFonts w:ascii="Tahoma" w:hAnsi="Tahoma" w:cs="Tahoma"/>
          <w:bCs/>
          <w:sz w:val="18"/>
          <w:szCs w:val="18"/>
        </w:rPr>
        <w:t>Dotyczy warunków umowy § 15 ust. 5</w:t>
      </w:r>
    </w:p>
    <w:p w:rsidR="00045BE5" w:rsidRDefault="00045BE5" w:rsidP="00045BE5">
      <w:pPr>
        <w:jc w:val="both"/>
        <w:rPr>
          <w:rFonts w:ascii="Tahoma" w:hAnsi="Tahoma" w:cs="Tahoma"/>
          <w:bCs/>
          <w:sz w:val="18"/>
          <w:szCs w:val="18"/>
        </w:rPr>
      </w:pPr>
      <w:r>
        <w:rPr>
          <w:rFonts w:ascii="Tahoma" w:hAnsi="Tahoma" w:cs="Tahoma"/>
          <w:sz w:val="18"/>
          <w:szCs w:val="18"/>
        </w:rPr>
        <w:t>Czy Zamawiający wyrazi zgodę na zmianę istniejącego zapisu na następujący:</w:t>
      </w:r>
    </w:p>
    <w:p w:rsidR="00045BE5" w:rsidRDefault="00045BE5" w:rsidP="00045BE5">
      <w:pPr>
        <w:jc w:val="both"/>
        <w:rPr>
          <w:rFonts w:ascii="Tahoma" w:hAnsi="Tahoma" w:cs="Tahoma"/>
          <w:b/>
          <w:sz w:val="20"/>
          <w:szCs w:val="20"/>
        </w:rPr>
      </w:pPr>
      <w:r>
        <w:rPr>
          <w:rFonts w:ascii="Tahoma" w:hAnsi="Tahoma" w:cs="Tahoma"/>
          <w:sz w:val="20"/>
          <w:szCs w:val="20"/>
        </w:rPr>
        <w:t>„Wykonawca zobowiązuje się do podjęcia naprawy w ramach gwarancji  w ciągu do 72 godzin w dni robocze (za dni robocze przyjmuje się dni inne niż soboty, niedziele i dni ustawowo wolne od pracy), przy czym przez podjęcie naprawy rozumie się osobistą obecność w miejscu awarii uprawnionego pracownika Wykonawcy – specjalisty w zakresie danej awarii lub usterki.”</w:t>
      </w:r>
    </w:p>
    <w:p w:rsidR="00045BE5" w:rsidRDefault="00045BE5" w:rsidP="00045BE5">
      <w:pPr>
        <w:jc w:val="both"/>
        <w:rPr>
          <w:rFonts w:ascii="Tahoma" w:hAnsi="Tahoma" w:cs="Tahoma"/>
          <w:b/>
          <w:sz w:val="18"/>
          <w:szCs w:val="18"/>
        </w:rPr>
      </w:pPr>
    </w:p>
    <w:p w:rsidR="00045BE5" w:rsidRDefault="00045BE5" w:rsidP="00045BE5">
      <w:pPr>
        <w:jc w:val="both"/>
        <w:rPr>
          <w:rFonts w:ascii="Tahoma" w:hAnsi="Tahoma" w:cs="Tahoma"/>
          <w:b/>
          <w:sz w:val="18"/>
          <w:szCs w:val="18"/>
        </w:rPr>
      </w:pPr>
      <w:r>
        <w:rPr>
          <w:rFonts w:ascii="Tahoma" w:hAnsi="Tahoma" w:cs="Tahoma"/>
          <w:b/>
          <w:sz w:val="18"/>
          <w:szCs w:val="18"/>
        </w:rPr>
        <w:t>Pytanie 4</w:t>
      </w:r>
    </w:p>
    <w:p w:rsidR="00045BE5" w:rsidRDefault="00045BE5" w:rsidP="00045BE5">
      <w:pPr>
        <w:jc w:val="both"/>
        <w:rPr>
          <w:rFonts w:ascii="Tahoma" w:hAnsi="Tahoma" w:cs="Tahoma"/>
          <w:bCs/>
          <w:sz w:val="18"/>
          <w:szCs w:val="18"/>
        </w:rPr>
      </w:pPr>
      <w:r>
        <w:rPr>
          <w:rFonts w:ascii="Tahoma" w:hAnsi="Tahoma" w:cs="Tahoma"/>
          <w:bCs/>
          <w:sz w:val="18"/>
          <w:szCs w:val="18"/>
        </w:rPr>
        <w:t>Dotyczy warunków umowy § 15 ust. 7</w:t>
      </w:r>
    </w:p>
    <w:p w:rsidR="00045BE5" w:rsidRDefault="00045BE5" w:rsidP="00045BE5">
      <w:pPr>
        <w:jc w:val="both"/>
        <w:rPr>
          <w:rFonts w:ascii="Tahoma" w:hAnsi="Tahoma" w:cs="Tahoma"/>
          <w:bCs/>
          <w:sz w:val="18"/>
          <w:szCs w:val="18"/>
        </w:rPr>
      </w:pPr>
      <w:r>
        <w:rPr>
          <w:rFonts w:ascii="Tahoma" w:hAnsi="Tahoma" w:cs="Tahoma"/>
          <w:sz w:val="18"/>
          <w:szCs w:val="18"/>
        </w:rPr>
        <w:t>Czy Zamawiający wyrazi zgodę na zmianę istniejącego zapisu na następujący:</w:t>
      </w:r>
    </w:p>
    <w:p w:rsidR="00045BE5" w:rsidRDefault="00045BE5" w:rsidP="00045BE5">
      <w:pPr>
        <w:jc w:val="both"/>
        <w:rPr>
          <w:rFonts w:ascii="Tahoma" w:hAnsi="Tahoma" w:cs="Tahoma"/>
          <w:b/>
          <w:sz w:val="20"/>
          <w:szCs w:val="20"/>
        </w:rPr>
      </w:pPr>
      <w:r>
        <w:rPr>
          <w:rFonts w:ascii="Tahoma" w:hAnsi="Tahoma" w:cs="Tahoma"/>
          <w:sz w:val="20"/>
          <w:szCs w:val="20"/>
        </w:rPr>
        <w:t>„Maksymalny czas usunięcia wady (liczony od dnia otrzymania zgłoszenia awarii) oraz naprawy wszelkiej wynikającej z niej szkody nie może przekroczyć 7 dni roboczych, z zastrzeżeniem ust. 8 i ust. 9. Usunięcie wady uznaje się za skuteczne z chwilą podpisania Protokołu odbioru usunięcia wady.”</w:t>
      </w:r>
    </w:p>
    <w:p w:rsidR="00045BE5" w:rsidRDefault="00045BE5" w:rsidP="00045BE5">
      <w:pPr>
        <w:jc w:val="both"/>
        <w:rPr>
          <w:rFonts w:ascii="Tahoma" w:hAnsi="Tahoma" w:cs="Tahoma"/>
          <w:b/>
          <w:sz w:val="18"/>
          <w:szCs w:val="18"/>
        </w:rPr>
      </w:pPr>
    </w:p>
    <w:p w:rsidR="00045BE5" w:rsidRDefault="00045BE5" w:rsidP="00045BE5">
      <w:pPr>
        <w:jc w:val="both"/>
        <w:rPr>
          <w:rFonts w:ascii="Tahoma" w:hAnsi="Tahoma" w:cs="Tahoma"/>
          <w:b/>
          <w:sz w:val="18"/>
          <w:szCs w:val="18"/>
        </w:rPr>
      </w:pPr>
      <w:r>
        <w:rPr>
          <w:rFonts w:ascii="Tahoma" w:hAnsi="Tahoma" w:cs="Tahoma"/>
          <w:b/>
          <w:sz w:val="18"/>
          <w:szCs w:val="18"/>
        </w:rPr>
        <w:t>Pytanie 5</w:t>
      </w:r>
    </w:p>
    <w:p w:rsidR="00045BE5" w:rsidRDefault="00045BE5" w:rsidP="00045BE5">
      <w:pPr>
        <w:jc w:val="both"/>
        <w:rPr>
          <w:rFonts w:ascii="Tahoma" w:hAnsi="Tahoma" w:cs="Tahoma"/>
          <w:bCs/>
          <w:sz w:val="18"/>
          <w:szCs w:val="18"/>
        </w:rPr>
      </w:pPr>
      <w:r>
        <w:rPr>
          <w:rFonts w:ascii="Tahoma" w:hAnsi="Tahoma" w:cs="Tahoma"/>
          <w:bCs/>
          <w:sz w:val="18"/>
          <w:szCs w:val="18"/>
        </w:rPr>
        <w:t>Dotyczy warunków umowy § 15 ust. 13</w:t>
      </w:r>
    </w:p>
    <w:p w:rsidR="00045BE5" w:rsidRDefault="00045BE5" w:rsidP="00045BE5">
      <w:pPr>
        <w:jc w:val="both"/>
        <w:rPr>
          <w:rFonts w:ascii="Tahoma" w:hAnsi="Tahoma" w:cs="Tahoma"/>
          <w:bCs/>
          <w:sz w:val="18"/>
          <w:szCs w:val="18"/>
        </w:rPr>
      </w:pPr>
      <w:r>
        <w:rPr>
          <w:rFonts w:ascii="Tahoma" w:hAnsi="Tahoma" w:cs="Tahoma"/>
          <w:sz w:val="18"/>
          <w:szCs w:val="18"/>
        </w:rPr>
        <w:t>Czy Zamawiający wyrazi zgodę na zmianę istniejącego zapisu na następujący:</w:t>
      </w:r>
    </w:p>
    <w:p w:rsidR="00045BE5" w:rsidRDefault="00045BE5" w:rsidP="00045BE5">
      <w:pPr>
        <w:jc w:val="both"/>
        <w:rPr>
          <w:rFonts w:ascii="Tahoma" w:hAnsi="Tahoma" w:cs="Tahoma"/>
          <w:b/>
          <w:sz w:val="20"/>
          <w:szCs w:val="20"/>
        </w:rPr>
      </w:pPr>
      <w:r>
        <w:rPr>
          <w:rFonts w:ascii="Tahoma" w:hAnsi="Tahoma" w:cs="Tahoma"/>
          <w:sz w:val="20"/>
          <w:szCs w:val="20"/>
        </w:rPr>
        <w:t>„Jeżeli w ramach gwarancji Wykonawca dokonał usunięcia wad istotnych, termin gwarancji ulega przedłużeniu o czas, w którym wada była usuwana.”</w:t>
      </w:r>
    </w:p>
    <w:p w:rsidR="00045BE5" w:rsidRDefault="00045BE5" w:rsidP="00045BE5">
      <w:pPr>
        <w:jc w:val="both"/>
        <w:rPr>
          <w:rFonts w:ascii="Tahoma" w:hAnsi="Tahoma" w:cs="Tahoma"/>
          <w:b/>
          <w:sz w:val="18"/>
          <w:szCs w:val="18"/>
        </w:rPr>
      </w:pPr>
    </w:p>
    <w:p w:rsidR="00045BE5" w:rsidRDefault="00045BE5" w:rsidP="00045BE5">
      <w:pPr>
        <w:jc w:val="both"/>
        <w:rPr>
          <w:rFonts w:ascii="Tahoma" w:hAnsi="Tahoma" w:cs="Tahoma"/>
          <w:b/>
          <w:sz w:val="18"/>
          <w:szCs w:val="18"/>
        </w:rPr>
      </w:pPr>
      <w:r>
        <w:rPr>
          <w:rFonts w:ascii="Tahoma" w:hAnsi="Tahoma" w:cs="Tahoma"/>
          <w:b/>
          <w:sz w:val="18"/>
          <w:szCs w:val="18"/>
        </w:rPr>
        <w:t>Pytanie 6</w:t>
      </w:r>
    </w:p>
    <w:p w:rsidR="00045BE5" w:rsidRDefault="00045BE5" w:rsidP="00045BE5">
      <w:pPr>
        <w:jc w:val="both"/>
        <w:rPr>
          <w:rFonts w:ascii="Tahoma" w:hAnsi="Tahoma" w:cs="Tahoma"/>
          <w:bCs/>
          <w:sz w:val="18"/>
          <w:szCs w:val="18"/>
        </w:rPr>
      </w:pPr>
      <w:r>
        <w:rPr>
          <w:rFonts w:ascii="Tahoma" w:hAnsi="Tahoma" w:cs="Tahoma"/>
          <w:bCs/>
          <w:sz w:val="18"/>
          <w:szCs w:val="18"/>
        </w:rPr>
        <w:t>Dotyczy warunków załącznika nr 1.1 warunki gwarancji i serwisu, pkt. 9</w:t>
      </w:r>
    </w:p>
    <w:p w:rsidR="00045BE5" w:rsidRDefault="00045BE5" w:rsidP="00045BE5">
      <w:pPr>
        <w:jc w:val="both"/>
        <w:rPr>
          <w:rFonts w:ascii="Tahoma" w:hAnsi="Tahoma" w:cs="Tahoma"/>
          <w:bCs/>
          <w:sz w:val="18"/>
          <w:szCs w:val="18"/>
        </w:rPr>
      </w:pPr>
      <w:r>
        <w:rPr>
          <w:rFonts w:ascii="Tahoma" w:hAnsi="Tahoma" w:cs="Tahoma"/>
          <w:sz w:val="18"/>
          <w:szCs w:val="18"/>
        </w:rPr>
        <w:t>Czy Zamawiający wyrazi zgodę na zmianę istniejącego zapisu na następujący:</w:t>
      </w:r>
    </w:p>
    <w:p w:rsidR="00045BE5" w:rsidRDefault="00045BE5" w:rsidP="00045BE5">
      <w:pPr>
        <w:jc w:val="both"/>
        <w:rPr>
          <w:rFonts w:ascii="Tahoma" w:hAnsi="Tahoma" w:cs="Tahoma"/>
          <w:b/>
          <w:sz w:val="18"/>
          <w:szCs w:val="18"/>
        </w:rPr>
      </w:pPr>
      <w:r>
        <w:rPr>
          <w:rFonts w:ascii="Tahoma" w:hAnsi="Tahoma" w:cs="Tahoma"/>
          <w:sz w:val="18"/>
          <w:szCs w:val="18"/>
        </w:rPr>
        <w:t>„Sumaryczny czas niesprawności dla aparatu nie przekroczy 20 dni roboczych na każde 12 miesięcy udzielonej gwarancji.”</w:t>
      </w:r>
    </w:p>
    <w:p w:rsidR="00045BE5" w:rsidRDefault="00045BE5" w:rsidP="00045BE5">
      <w:pPr>
        <w:jc w:val="both"/>
        <w:rPr>
          <w:rFonts w:ascii="Tahoma" w:hAnsi="Tahoma" w:cs="Tahoma"/>
          <w:b/>
          <w:sz w:val="18"/>
          <w:szCs w:val="18"/>
        </w:rPr>
      </w:pPr>
    </w:p>
    <w:p w:rsidR="00045BE5" w:rsidRDefault="00045BE5" w:rsidP="00045BE5">
      <w:pPr>
        <w:jc w:val="both"/>
        <w:rPr>
          <w:rFonts w:ascii="Tahoma" w:hAnsi="Tahoma" w:cs="Tahoma"/>
          <w:b/>
          <w:sz w:val="18"/>
          <w:szCs w:val="18"/>
        </w:rPr>
      </w:pPr>
      <w:r>
        <w:rPr>
          <w:rFonts w:ascii="Tahoma" w:hAnsi="Tahoma" w:cs="Tahoma"/>
          <w:b/>
          <w:sz w:val="18"/>
          <w:szCs w:val="18"/>
        </w:rPr>
        <w:t>Pytanie 7</w:t>
      </w:r>
    </w:p>
    <w:p w:rsidR="00045BE5" w:rsidRDefault="00045BE5" w:rsidP="00045BE5">
      <w:pPr>
        <w:jc w:val="both"/>
        <w:rPr>
          <w:rFonts w:ascii="Tahoma" w:hAnsi="Tahoma" w:cs="Tahoma"/>
          <w:bCs/>
          <w:sz w:val="18"/>
          <w:szCs w:val="18"/>
        </w:rPr>
      </w:pPr>
      <w:r>
        <w:rPr>
          <w:rFonts w:ascii="Tahoma" w:hAnsi="Tahoma" w:cs="Tahoma"/>
          <w:bCs/>
          <w:sz w:val="18"/>
          <w:szCs w:val="18"/>
        </w:rPr>
        <w:t>Dotyczy warunków załącznika nr 1.1 warunki gwarancji i serwisu, pkt. 15</w:t>
      </w:r>
    </w:p>
    <w:p w:rsidR="00045BE5" w:rsidRDefault="00045BE5" w:rsidP="00045BE5">
      <w:pPr>
        <w:jc w:val="both"/>
        <w:rPr>
          <w:rFonts w:ascii="Tahoma" w:hAnsi="Tahoma" w:cs="Tahoma"/>
          <w:bCs/>
          <w:sz w:val="18"/>
          <w:szCs w:val="18"/>
        </w:rPr>
      </w:pPr>
      <w:r>
        <w:rPr>
          <w:rFonts w:ascii="Tahoma" w:hAnsi="Tahoma" w:cs="Tahoma"/>
          <w:sz w:val="18"/>
          <w:szCs w:val="18"/>
        </w:rPr>
        <w:t>Czy Zamawiający wyrazi zgodę na zmianę istniejącego zapisu na następujący:</w:t>
      </w:r>
    </w:p>
    <w:p w:rsidR="00045BE5" w:rsidRDefault="00045BE5" w:rsidP="00045BE5">
      <w:pPr>
        <w:jc w:val="both"/>
        <w:rPr>
          <w:rFonts w:ascii="Tahoma" w:hAnsi="Tahoma" w:cs="Tahoma"/>
          <w:sz w:val="18"/>
          <w:szCs w:val="18"/>
        </w:rPr>
      </w:pPr>
      <w:r>
        <w:rPr>
          <w:rFonts w:ascii="Tahoma" w:hAnsi="Tahoma" w:cs="Tahoma"/>
          <w:sz w:val="18"/>
          <w:szCs w:val="18"/>
        </w:rPr>
        <w:t>„Okres zagwarantowania dostępności i możliwości zakupu części zamiennych oraz wyposażenia eksploatacyjnego powinien wynosić 8 lat od daty kończącej okres gwarancji (za wyjątkiem sprzętu komputerowego, na który zapewnia się okres min. 5 lat).”</w:t>
      </w:r>
    </w:p>
    <w:p w:rsidR="00045BE5" w:rsidRDefault="00045BE5" w:rsidP="00045BE5">
      <w:pPr>
        <w:jc w:val="both"/>
        <w:rPr>
          <w:rFonts w:ascii="Tahoma" w:hAnsi="Tahoma" w:cs="Tahoma"/>
          <w:b/>
          <w:sz w:val="18"/>
          <w:szCs w:val="18"/>
        </w:rPr>
      </w:pPr>
    </w:p>
    <w:p w:rsidR="00045BE5" w:rsidRDefault="00045BE5" w:rsidP="00045BE5">
      <w:pPr>
        <w:jc w:val="both"/>
        <w:rPr>
          <w:rFonts w:ascii="Tahoma" w:hAnsi="Tahoma" w:cs="Tahoma"/>
          <w:b/>
          <w:sz w:val="20"/>
          <w:szCs w:val="20"/>
        </w:rPr>
      </w:pPr>
      <w:r>
        <w:rPr>
          <w:rFonts w:ascii="Tahoma" w:hAnsi="Tahoma" w:cs="Tahoma"/>
          <w:b/>
          <w:sz w:val="20"/>
          <w:szCs w:val="20"/>
        </w:rPr>
        <w:t xml:space="preserve">Wnioskujemy do Zamawiającego o ujednolicenie zapisów projektu umowy z zapisami załącznika 1.1 (Warunki gwarancji i serwisu) </w:t>
      </w:r>
    </w:p>
    <w:p w:rsidR="00045BE5" w:rsidRDefault="00045BE5" w:rsidP="00045BE5">
      <w:pPr>
        <w:jc w:val="both"/>
        <w:rPr>
          <w:rFonts w:ascii="Tahoma" w:hAnsi="Tahoma" w:cs="Tahoma"/>
          <w:b/>
          <w:sz w:val="20"/>
          <w:szCs w:val="20"/>
        </w:rPr>
      </w:pPr>
    </w:p>
    <w:p w:rsidR="00045BE5" w:rsidRDefault="00045BE5" w:rsidP="00045BE5">
      <w:pPr>
        <w:jc w:val="both"/>
        <w:rPr>
          <w:rFonts w:ascii="Tahoma" w:hAnsi="Tahoma" w:cs="Tahoma"/>
          <w:b/>
          <w:sz w:val="20"/>
          <w:szCs w:val="20"/>
        </w:rPr>
      </w:pPr>
    </w:p>
    <w:p w:rsidR="00045BE5" w:rsidRDefault="00622947" w:rsidP="00622947">
      <w:pPr>
        <w:rPr>
          <w:rFonts w:ascii="Arial" w:hAnsi="Arial" w:cs="Arial"/>
          <w:b/>
          <w:u w:val="single"/>
        </w:rPr>
      </w:pPr>
      <w:r w:rsidRPr="00622947">
        <w:rPr>
          <w:rFonts w:ascii="Arial" w:hAnsi="Arial" w:cs="Arial"/>
          <w:b/>
          <w:u w:val="single"/>
        </w:rPr>
        <w:t>Zapytania nr 13</w:t>
      </w:r>
    </w:p>
    <w:p w:rsidR="00622947" w:rsidRDefault="00622947" w:rsidP="00622947">
      <w:pPr>
        <w:rPr>
          <w:rFonts w:asciiTheme="minorHAnsi" w:hAnsiTheme="minorHAnsi"/>
        </w:rPr>
      </w:pPr>
    </w:p>
    <w:p w:rsidR="00622947" w:rsidRPr="00F3671E" w:rsidRDefault="00622947" w:rsidP="00F3671E">
      <w:pPr>
        <w:pStyle w:val="Akapitzlist"/>
        <w:numPr>
          <w:ilvl w:val="1"/>
          <w:numId w:val="17"/>
        </w:numPr>
        <w:rPr>
          <w:rFonts w:ascii="Calibri" w:hAnsi="Calibri"/>
          <w:b/>
          <w:bCs/>
        </w:rPr>
      </w:pPr>
      <w:r w:rsidRPr="00F3671E">
        <w:rPr>
          <w:rFonts w:ascii="Calibri" w:hAnsi="Calibri"/>
          <w:b/>
          <w:bCs/>
        </w:rPr>
        <w:t>Dotyczy załącznika nr 1 do SIWZ, w części PET/CT, pkt 90 tabeli opisu skanera PET/CT</w:t>
      </w:r>
    </w:p>
    <w:p w:rsidR="00622947" w:rsidRDefault="00622947" w:rsidP="00F3671E">
      <w:pPr>
        <w:rPr>
          <w:rFonts w:ascii="Calibri" w:hAnsi="Calibri"/>
          <w:bCs/>
          <w:sz w:val="22"/>
          <w:szCs w:val="22"/>
        </w:rPr>
      </w:pPr>
      <w:r>
        <w:rPr>
          <w:rFonts w:ascii="Calibri" w:hAnsi="Calibri"/>
          <w:bCs/>
          <w:sz w:val="22"/>
          <w:szCs w:val="22"/>
        </w:rPr>
        <w:t>Prosimy o potwierdzenie, że zamawiający będzie wymagał zaoferowania nowego serwera aplikacyjnego spełniającego poniższe wymagania, umożliwiającego dostęp do min 12 użytkowników lub dołączenie się do serwera dostarczanego z innym urządzeniem objętym  tym samym postępowaniem i wyspecyfikowanym zgodnie z wymaganiami postępowania? Tym samym dla jednoznacznego opisu przedmiotu zamówienia i uniknięciu niejednoznacznych interpretacji prosimy u usunięcie pkt 89.</w:t>
      </w:r>
    </w:p>
    <w:p w:rsidR="00622947" w:rsidRDefault="00622947" w:rsidP="00F3671E">
      <w:pPr>
        <w:ind w:left="720"/>
        <w:rPr>
          <w:rFonts w:ascii="Calibri" w:eastAsiaTheme="minorHAnsi" w:hAnsi="Calibri"/>
          <w:bCs/>
          <w:sz w:val="22"/>
          <w:szCs w:val="22"/>
        </w:rPr>
      </w:pPr>
    </w:p>
    <w:p w:rsidR="00622947" w:rsidRPr="00F3671E" w:rsidRDefault="00622947" w:rsidP="00F3671E">
      <w:pPr>
        <w:pStyle w:val="Akapitzlist"/>
        <w:numPr>
          <w:ilvl w:val="1"/>
          <w:numId w:val="17"/>
        </w:numPr>
        <w:rPr>
          <w:rFonts w:cstheme="minorHAnsi"/>
          <w:b/>
          <w:sz w:val="20"/>
          <w:szCs w:val="20"/>
        </w:rPr>
      </w:pPr>
      <w:r w:rsidRPr="00F3671E">
        <w:rPr>
          <w:rFonts w:cstheme="minorHAnsi"/>
          <w:b/>
        </w:rPr>
        <w:t>Dotyczy załącznika nr 1, skaner PET/CT, pkt. 181</w:t>
      </w:r>
    </w:p>
    <w:p w:rsidR="00622947" w:rsidRDefault="00622947" w:rsidP="00F3671E">
      <w:pPr>
        <w:rPr>
          <w:rFonts w:ascii="Calibri" w:hAnsi="Calibri"/>
          <w:color w:val="000000"/>
        </w:rPr>
      </w:pPr>
      <w:r>
        <w:rPr>
          <w:rFonts w:ascii="Calibri" w:hAnsi="Calibri"/>
          <w:color w:val="000000"/>
        </w:rPr>
        <w:t>Wzorując się na pkt 182, czy Zamawiający potwierdza, że w pkt 181:  testy odbiorcze – akceptacyjne może wykonać na zlecenie Wykonawcy inna firma?  Dodajemy, że zgodnie z prawem taka firma musi mieć akredytację do wykonywania testów akceptacyjnych i specjalistycznych, zatem dla obu pkt 181 i 182 – wymagane jest brzmienie „</w:t>
      </w:r>
      <w:r>
        <w:rPr>
          <w:rFonts w:ascii="Calibri" w:hAnsi="Calibri"/>
          <w:i/>
          <w:color w:val="000000"/>
        </w:rPr>
        <w:t>Wykonawca przeprowadzi (lub zleci przeprowadzenie)…</w:t>
      </w:r>
      <w:r>
        <w:rPr>
          <w:rFonts w:ascii="Calibri" w:hAnsi="Calibri"/>
          <w:color w:val="000000"/>
        </w:rPr>
        <w:t>”</w:t>
      </w:r>
    </w:p>
    <w:p w:rsidR="00622947" w:rsidRDefault="00622947" w:rsidP="00F3671E">
      <w:pPr>
        <w:rPr>
          <w:rFonts w:asciiTheme="minorHAnsi" w:hAnsiTheme="minorHAnsi" w:cstheme="minorHAnsi"/>
          <w:b/>
        </w:rPr>
      </w:pPr>
    </w:p>
    <w:p w:rsidR="00622947" w:rsidRPr="00F3671E" w:rsidRDefault="00622947" w:rsidP="00F3671E">
      <w:pPr>
        <w:pStyle w:val="Akapitzlist"/>
        <w:numPr>
          <w:ilvl w:val="1"/>
          <w:numId w:val="17"/>
        </w:numPr>
        <w:rPr>
          <w:rFonts w:cstheme="minorHAnsi"/>
          <w:b/>
        </w:rPr>
      </w:pPr>
      <w:r w:rsidRPr="00F3671E">
        <w:rPr>
          <w:rFonts w:cstheme="minorHAnsi"/>
          <w:b/>
        </w:rPr>
        <w:t>Dotyczy załącznika nr 1, Rezonans magnetyczny do diagnostyki oraz wsparcia procesu planowania radioterapii, pkt. X.6</w:t>
      </w:r>
    </w:p>
    <w:p w:rsidR="00622947" w:rsidRDefault="00622947" w:rsidP="00F3671E">
      <w:pPr>
        <w:rPr>
          <w:rFonts w:asciiTheme="minorHAnsi" w:hAnsiTheme="minorHAnsi" w:cstheme="minorHAnsi"/>
        </w:rPr>
      </w:pPr>
      <w:r>
        <w:rPr>
          <w:rFonts w:asciiTheme="minorHAnsi" w:hAnsiTheme="minorHAnsi" w:cstheme="minorHAnsi"/>
        </w:rPr>
        <w:t>Prosimy o ujednolicenie w/w zapisu z pkt. 15 załącznika nr 1.1 do SIWZ „Warunki gwarancji”.</w:t>
      </w:r>
    </w:p>
    <w:p w:rsidR="00622947" w:rsidRDefault="00622947" w:rsidP="00F3671E">
      <w:pPr>
        <w:rPr>
          <w:rFonts w:asciiTheme="minorHAnsi" w:hAnsiTheme="minorHAnsi" w:cstheme="minorHAnsi"/>
          <w:b/>
        </w:rPr>
      </w:pPr>
    </w:p>
    <w:p w:rsidR="00622947" w:rsidRPr="00F3671E" w:rsidRDefault="00622947" w:rsidP="00F3671E">
      <w:pPr>
        <w:pStyle w:val="Akapitzlist"/>
        <w:numPr>
          <w:ilvl w:val="1"/>
          <w:numId w:val="17"/>
        </w:numPr>
        <w:rPr>
          <w:rFonts w:cstheme="minorHAnsi"/>
          <w:b/>
        </w:rPr>
      </w:pPr>
      <w:r w:rsidRPr="00F3671E">
        <w:rPr>
          <w:rFonts w:cstheme="minorHAnsi"/>
          <w:b/>
        </w:rPr>
        <w:lastRenderedPageBreak/>
        <w:t>Dotyczy SIWZ, rozdział II, pkt. 2.9 i 2.13</w:t>
      </w:r>
    </w:p>
    <w:p w:rsidR="00622947" w:rsidRDefault="00622947" w:rsidP="00F3671E">
      <w:pPr>
        <w:rPr>
          <w:rFonts w:asciiTheme="minorHAnsi" w:hAnsiTheme="minorHAnsi"/>
        </w:rPr>
      </w:pPr>
      <w:r>
        <w:rPr>
          <w:rFonts w:asciiTheme="minorHAnsi" w:hAnsiTheme="minorHAnsi"/>
        </w:rPr>
        <w:t xml:space="preserve">Czy Zamawiający akceptuje dostarczenie kodów dostępu do oprogramowania serwisowego po zakończeniu gwarancji podstawowej na urządzenie na każde życzenie Zamawiającego, ponieważ dla zapewnienia bezpiecznej eksploatacji urządzenia medycznego są one generowane na czas wykonywania naprawy i nie mogą być generowane „na przyszłość”? W okresie gwarancji jedynym dysponentem kodów dostępu do oprogramowania serwisowego jest podmiot świadczący gwarancję, ponieważ niewłaściwe wykorzystanie oprogramowania serwisowego stanowi zagrożenie dla zdrowia i życia pacjentów oraz stanu urządzenia medycznego. </w:t>
      </w:r>
    </w:p>
    <w:p w:rsidR="00622947" w:rsidRDefault="00622947" w:rsidP="00F3671E">
      <w:pPr>
        <w:rPr>
          <w:rFonts w:asciiTheme="minorHAnsi" w:hAnsiTheme="minorHAnsi"/>
        </w:rPr>
      </w:pPr>
      <w:r>
        <w:rPr>
          <w:rFonts w:asciiTheme="minorHAnsi" w:hAnsiTheme="minorHAnsi"/>
        </w:rPr>
        <w:t xml:space="preserve">W związku z tym prosimy o potwierdzenie że intencją Zamawiającego jest uzyskanie kodów/haseł/kluczy serwisowych lub innych zabezpieczeń sprzętowych (m.in. </w:t>
      </w:r>
      <w:proofErr w:type="spellStart"/>
      <w:r>
        <w:rPr>
          <w:rFonts w:asciiTheme="minorHAnsi" w:hAnsiTheme="minorHAnsi"/>
        </w:rPr>
        <w:t>dongli</w:t>
      </w:r>
      <w:proofErr w:type="spellEnd"/>
      <w:r>
        <w:rPr>
          <w:rFonts w:asciiTheme="minorHAnsi" w:hAnsiTheme="minorHAnsi"/>
        </w:rPr>
        <w:t>), których uzyskanie, po podpisaniu stosownego protokołu przekazania, umożliwi Zamawiającemu dostęp wyłącznie do oprogramowania serwisowego niezbędnego z technicznego punktu widzenia w celu wykonywania montażu, instalacji, regulacji, testowania oraz serwisu/ utrzymania przedmiotowego urządzenia.</w:t>
      </w:r>
    </w:p>
    <w:p w:rsidR="00622947" w:rsidRDefault="00622947" w:rsidP="00F3671E">
      <w:pPr>
        <w:rPr>
          <w:rFonts w:asciiTheme="minorHAnsi" w:hAnsiTheme="minorHAnsi"/>
        </w:rPr>
      </w:pPr>
      <w:r>
        <w:rPr>
          <w:rFonts w:asciiTheme="minorHAnsi" w:hAnsiTheme="minorHAnsi"/>
        </w:rPr>
        <w:t>Dodatkowo prosimy o potwierdzenie, że Zamawiający będzie wymagał od potencjalnych podmiotów świadczących pogwarancyjne usługi serwisowe podpisania z Wykonawcą stosownej umowy licencji, która przeniesie wszelkie ryzyka i odpowiedzialności wynikające ze stosowania oprogramowania serwisowego na podmiot świadczący usługi serwisowe. Wykonawca nie będzie miał prawa pobierania dodatkowego wynagrodzenia z tytułu zawarcia umowy licencji na oprogramowanie serwisowe.</w:t>
      </w:r>
    </w:p>
    <w:p w:rsidR="00622947" w:rsidRDefault="00622947" w:rsidP="00F3671E">
      <w:pPr>
        <w:rPr>
          <w:rFonts w:asciiTheme="minorHAnsi" w:hAnsiTheme="minorHAnsi"/>
        </w:rPr>
      </w:pPr>
      <w:r>
        <w:rPr>
          <w:rFonts w:asciiTheme="minorHAnsi" w:hAnsiTheme="minorHAnsi"/>
        </w:rPr>
        <w:t xml:space="preserve">W związku z powyższym czy Zamawiający wyrazi również zgodę, aby w okresie gwarancji na życzenie Zamawiającego to Wykonawca dokonywał konfiguracji urządzenia/konfiguracji </w:t>
      </w:r>
      <w:proofErr w:type="spellStart"/>
      <w:r>
        <w:rPr>
          <w:rFonts w:asciiTheme="minorHAnsi" w:hAnsiTheme="minorHAnsi"/>
        </w:rPr>
        <w:t>worklist</w:t>
      </w:r>
      <w:proofErr w:type="spellEnd"/>
      <w:r>
        <w:rPr>
          <w:rFonts w:asciiTheme="minorHAnsi" w:hAnsiTheme="minorHAnsi"/>
        </w:rPr>
        <w:t xml:space="preserve"> oraz </w:t>
      </w:r>
      <w:proofErr w:type="spellStart"/>
      <w:r>
        <w:rPr>
          <w:rFonts w:asciiTheme="minorHAnsi" w:hAnsiTheme="minorHAnsi"/>
        </w:rPr>
        <w:t>store</w:t>
      </w:r>
      <w:proofErr w:type="spellEnd"/>
      <w:r>
        <w:rPr>
          <w:rFonts w:asciiTheme="minorHAnsi" w:hAnsiTheme="minorHAnsi"/>
        </w:rPr>
        <w:t>.</w:t>
      </w:r>
    </w:p>
    <w:p w:rsidR="00622947" w:rsidRDefault="00622947" w:rsidP="00F3671E">
      <w:pPr>
        <w:rPr>
          <w:rFonts w:asciiTheme="minorHAnsi" w:hAnsiTheme="minorHAnsi" w:cstheme="minorHAnsi"/>
          <w:b/>
        </w:rPr>
      </w:pPr>
    </w:p>
    <w:p w:rsidR="00622947" w:rsidRDefault="00622947" w:rsidP="00F3671E">
      <w:pPr>
        <w:pStyle w:val="scfbrieftext"/>
        <w:numPr>
          <w:ilvl w:val="1"/>
          <w:numId w:val="17"/>
        </w:numPr>
        <w:rPr>
          <w:rFonts w:asciiTheme="minorHAnsi" w:hAnsiTheme="minorHAnsi"/>
          <w:b/>
          <w:lang w:val="pl-PL"/>
        </w:rPr>
      </w:pPr>
      <w:r>
        <w:rPr>
          <w:rFonts w:asciiTheme="minorHAnsi" w:hAnsiTheme="minorHAnsi"/>
          <w:b/>
          <w:lang w:val="pl-PL"/>
        </w:rPr>
        <w:t>Dot. zapisów w ogłoszeniu o zamówieniu sekcja III.1.1)</w:t>
      </w:r>
    </w:p>
    <w:p w:rsidR="00622947" w:rsidRDefault="00622947" w:rsidP="00F3671E">
      <w:pPr>
        <w:pStyle w:val="scfbrieftext"/>
        <w:rPr>
          <w:rFonts w:asciiTheme="minorHAnsi" w:hAnsiTheme="minorHAnsi"/>
          <w:lang w:val="pl-PL"/>
        </w:rPr>
      </w:pPr>
      <w:r>
        <w:rPr>
          <w:rFonts w:asciiTheme="minorHAnsi" w:hAnsiTheme="minorHAnsi"/>
          <w:i/>
          <w:lang w:val="pl-PL"/>
        </w:rPr>
        <w:t xml:space="preserve">„Zdolność do prowadzenia działalności zawodowej, w tym wymogi związane z wpisem do rejestru zawodowego lub handlowego: (…) - zezwolenie Prezesa Państwowej Agencji Atomistyki na wykonywanie działalności o której mowa w art. 4 ust1 pkt 1,4, Ustawy Prawo Atomowe, polegającej na: przechowywaniu, transporcie, źródeł promieniotwórczych i obrocie tymi źródłami, instalowaniu urządzeń zawierających źródła promieniotwórcze oraz obrocie tymi urządzeniami”, </w:t>
      </w:r>
      <w:r>
        <w:rPr>
          <w:rFonts w:asciiTheme="minorHAnsi" w:hAnsiTheme="minorHAnsi"/>
          <w:lang w:val="pl-PL"/>
        </w:rPr>
        <w:t>oraz zapisów SIWZ pkt IV. Pkt.3 oraz o następującym brzmieniu:</w:t>
      </w:r>
    </w:p>
    <w:p w:rsidR="00622947" w:rsidRDefault="00622947" w:rsidP="00F3671E">
      <w:pPr>
        <w:pStyle w:val="scfbrieftext"/>
        <w:rPr>
          <w:rFonts w:asciiTheme="minorHAnsi" w:hAnsiTheme="minorHAnsi"/>
          <w:lang w:val="pl-PL"/>
        </w:rPr>
      </w:pPr>
    </w:p>
    <w:p w:rsidR="00622947" w:rsidRDefault="00622947" w:rsidP="00F3671E">
      <w:pPr>
        <w:pStyle w:val="scfbrieftext"/>
        <w:rPr>
          <w:rFonts w:asciiTheme="minorHAnsi" w:hAnsiTheme="minorHAnsi"/>
          <w:i/>
          <w:lang w:val="pl-PL"/>
        </w:rPr>
      </w:pPr>
      <w:r>
        <w:rPr>
          <w:rFonts w:asciiTheme="minorHAnsi" w:hAnsiTheme="minorHAnsi"/>
          <w:i/>
          <w:lang w:val="pl-PL"/>
        </w:rPr>
        <w:t xml:space="preserve">„Dokumenty potwierdzające spełnianie warunków wynikających z art. 25 ust. 1, składane przez Wykonawcę na wezwanie Zamawiającego (na podstawie z art. 26 ust. 1 ustawy </w:t>
      </w:r>
      <w:proofErr w:type="spellStart"/>
      <w:r>
        <w:rPr>
          <w:rFonts w:asciiTheme="minorHAnsi" w:hAnsiTheme="minorHAnsi"/>
          <w:i/>
          <w:lang w:val="pl-PL"/>
        </w:rPr>
        <w:t>Pzp</w:t>
      </w:r>
      <w:proofErr w:type="spellEnd"/>
      <w:r>
        <w:rPr>
          <w:rFonts w:asciiTheme="minorHAnsi" w:hAnsiTheme="minorHAnsi"/>
          <w:i/>
          <w:lang w:val="pl-PL"/>
        </w:rPr>
        <w:t>):</w:t>
      </w:r>
    </w:p>
    <w:p w:rsidR="00622947" w:rsidRDefault="00622947" w:rsidP="00F3671E">
      <w:pPr>
        <w:pStyle w:val="scfbrieftext"/>
        <w:rPr>
          <w:rFonts w:asciiTheme="minorHAnsi" w:hAnsiTheme="minorHAnsi"/>
          <w:i/>
          <w:lang w:val="pl-PL"/>
        </w:rPr>
      </w:pPr>
      <w:r>
        <w:rPr>
          <w:rFonts w:asciiTheme="minorHAnsi" w:hAnsiTheme="minorHAnsi"/>
          <w:i/>
          <w:lang w:val="pl-PL"/>
        </w:rPr>
        <w:t>zezwolenie Prezesa Państwowej Agencji Atomistyki na wykonywanie działalności o której mowa w art. 4 ust 1  pkt 1,4, Ustawy Prawo Atomowe, polegającej na: przechowywaniu, transporcie, źródeł promieniotwórczych i obrocie tymi źródłami, instalowaniu urządzeń zawierających źródła promieniotwórcze oraz obrocie tymi urządzeniami,”</w:t>
      </w:r>
    </w:p>
    <w:p w:rsidR="00622947" w:rsidRDefault="00622947" w:rsidP="00F3671E">
      <w:pPr>
        <w:rPr>
          <w:rFonts w:asciiTheme="minorHAnsi" w:hAnsiTheme="minorHAnsi"/>
          <w:sz w:val="22"/>
          <w:szCs w:val="22"/>
        </w:rPr>
      </w:pPr>
    </w:p>
    <w:p w:rsidR="00622947" w:rsidRDefault="00622947" w:rsidP="00F3671E">
      <w:pPr>
        <w:rPr>
          <w:rFonts w:asciiTheme="minorHAnsi" w:hAnsiTheme="minorHAnsi"/>
          <w:sz w:val="20"/>
          <w:szCs w:val="20"/>
        </w:rPr>
      </w:pPr>
      <w:r>
        <w:rPr>
          <w:rFonts w:asciiTheme="minorHAnsi" w:hAnsiTheme="minorHAnsi"/>
        </w:rPr>
        <w:t>W w/w punktach Zamawiający żąda wykazania, iż wykonawca dysponuje zezwoleniem Prezesa Państwowej Agencji Atomistyki na wykonywanie działalności o której mowa w art. 4 ust 1  pkt 1,4, Ustawy Prawo Atomowe, polegającej na: przechowywaniu, transporcie, źródeł promieniotwórczych i obrocie tymi źródłami, instalowaniu urządzeń zawierających źródła promieniotwórcze oraz obrocie tymi urządzeniami.</w:t>
      </w:r>
    </w:p>
    <w:p w:rsidR="00622947" w:rsidRDefault="00622947" w:rsidP="00F3671E">
      <w:pPr>
        <w:rPr>
          <w:rFonts w:asciiTheme="minorHAnsi" w:hAnsiTheme="minorHAnsi"/>
        </w:rPr>
      </w:pPr>
      <w:r>
        <w:rPr>
          <w:rFonts w:asciiTheme="minorHAnsi" w:hAnsiTheme="minorHAnsi"/>
        </w:rPr>
        <w:t xml:space="preserve">W związku z tym, że do realizacji przedmiotu zamówienia niezbędne jest posiadanie przez Wykonawcę zezwolenia PAA w zakresie tylko niektórych czynności wymienionych w ustawie, tj. instalowania urządzeń zawierających źródła promieniotwórcze jonizujące i obrót tymi źródłami, zwracamy się z zapytaniem, czy Zamawiający  zaakceptuje jako spełnienie wymogów w wyżej wymienionym zakresie przedstawienie zezwolenia Prezesa PAA na działalność w zakresie uruchamiania urządzeń PET/CT i stosowanie zamkniętych źródeł promieniotwórczych oraz zezwolenie na działalność polegającą na obrocie źródłami promieniotwórczymi?  </w:t>
      </w:r>
    </w:p>
    <w:p w:rsidR="00622947" w:rsidRDefault="00622947" w:rsidP="00F3671E">
      <w:pPr>
        <w:rPr>
          <w:rFonts w:asciiTheme="minorHAnsi" w:hAnsiTheme="minorHAnsi"/>
        </w:rPr>
      </w:pPr>
      <w:r>
        <w:rPr>
          <w:rFonts w:asciiTheme="minorHAnsi" w:hAnsiTheme="minorHAnsi"/>
        </w:rPr>
        <w:t xml:space="preserve">Nadmieniamy jednocześnie, iż Wykonawca, występując w roli płatnika finansującego operację dostawy czy przechowywania źródeł promieniotwórczych jako części zobowiązania kontraktowego w ramach umowy na „Dostawę wyposażenia i aparatury medycznej w ramach zadania „Budowa Siedleckiego </w:t>
      </w:r>
      <w:r>
        <w:rPr>
          <w:rFonts w:asciiTheme="minorHAnsi" w:hAnsiTheme="minorHAnsi"/>
        </w:rPr>
        <w:lastRenderedPageBreak/>
        <w:t>Ośrodka Onkologii”,  zlecając realizację dostawy jednostce organizacyjnej posiadającej na wykonanie tego rodzaju działalności zezwolenie Prezesa PAA, nie wykonuje działalności związanej z narażeniem, o której mowa w art.4 ust.1 z dnia 29 listopada 2000r. – Prawo Atomowe (Dz.U.2007 Nr42.poz.276 z późn.zm.), wymagającej zezwolenia Prezesa Państwowej Agencji Atomistyki lub zgłoszenia.</w:t>
      </w:r>
    </w:p>
    <w:p w:rsidR="00622947" w:rsidRDefault="00622947" w:rsidP="00F3671E">
      <w:pPr>
        <w:rPr>
          <w:rFonts w:asciiTheme="minorHAnsi" w:hAnsiTheme="minorHAnsi"/>
        </w:rPr>
      </w:pPr>
      <w:r>
        <w:rPr>
          <w:rFonts w:asciiTheme="minorHAnsi" w:hAnsiTheme="minorHAnsi"/>
        </w:rPr>
        <w:t xml:space="preserve">W związku z powyższym prosimy o dokonanie stosownej zmiany w SIWZ i ogłoszeniu w tym zakresie, w proponowanym brzmieniu: </w:t>
      </w:r>
    </w:p>
    <w:p w:rsidR="00622947" w:rsidRDefault="00622947" w:rsidP="00F3671E">
      <w:pPr>
        <w:rPr>
          <w:rFonts w:asciiTheme="minorHAnsi" w:hAnsiTheme="minorHAnsi"/>
          <w:b/>
        </w:rPr>
      </w:pPr>
      <w:r>
        <w:rPr>
          <w:rFonts w:asciiTheme="minorHAnsi" w:hAnsiTheme="minorHAnsi"/>
          <w:b/>
        </w:rPr>
        <w:t xml:space="preserve">Wykonawca spełni warunek na podstawie oświadczenia o spełnianiu warunków udziału w postępowaniu oraz wykaże jednocześnie, że dysponuje zezwoleniem Prezesa Państwowej Agencji Atomistyki w zakresie uruchamiania urządzeń PET/CT i stosowania zamkniętych źródeł promieniotwórczych  oraz zezwolenie na działalność polegającą na obrocie źródłami promieniotwórczym. </w:t>
      </w:r>
    </w:p>
    <w:p w:rsidR="00622947" w:rsidRDefault="00622947" w:rsidP="00F3671E">
      <w:pPr>
        <w:rPr>
          <w:rFonts w:asciiTheme="minorHAnsi" w:hAnsiTheme="minorHAnsi" w:cstheme="minorHAnsi"/>
          <w:b/>
        </w:rPr>
      </w:pPr>
    </w:p>
    <w:p w:rsidR="00622947" w:rsidRPr="00F3671E" w:rsidRDefault="00622947" w:rsidP="00F3671E">
      <w:pPr>
        <w:pStyle w:val="Akapitzlist"/>
        <w:numPr>
          <w:ilvl w:val="1"/>
          <w:numId w:val="17"/>
        </w:numPr>
        <w:rPr>
          <w:rFonts w:cstheme="minorHAnsi"/>
          <w:b/>
        </w:rPr>
      </w:pPr>
      <w:r w:rsidRPr="00F3671E">
        <w:rPr>
          <w:rFonts w:cstheme="minorHAnsi"/>
          <w:b/>
        </w:rPr>
        <w:t>Dotyczy załącznika nr 1.1 do SIWZ, pkt. 3</w:t>
      </w:r>
    </w:p>
    <w:p w:rsidR="00622947" w:rsidRDefault="00622947" w:rsidP="00F3671E">
      <w:pPr>
        <w:rPr>
          <w:rFonts w:asciiTheme="minorHAnsi" w:hAnsiTheme="minorHAnsi" w:cs="Arial"/>
        </w:rPr>
      </w:pPr>
      <w:r>
        <w:rPr>
          <w:rFonts w:asciiTheme="minorHAnsi" w:hAnsiTheme="minorHAnsi" w:cs="Arial"/>
        </w:rPr>
        <w:t>Czy Zamawiający rozumie monitorowanie stanu poprzez system zdalnej diagnostyki?</w:t>
      </w:r>
    </w:p>
    <w:p w:rsidR="00622947" w:rsidRDefault="00622947" w:rsidP="00F3671E">
      <w:pPr>
        <w:rPr>
          <w:rFonts w:asciiTheme="minorHAnsi" w:hAnsiTheme="minorHAnsi" w:cstheme="minorHAnsi"/>
          <w:b/>
        </w:rPr>
      </w:pPr>
    </w:p>
    <w:p w:rsidR="00622947" w:rsidRPr="00F3671E" w:rsidRDefault="00622947" w:rsidP="00F3671E">
      <w:pPr>
        <w:pStyle w:val="Akapitzlist"/>
        <w:numPr>
          <w:ilvl w:val="1"/>
          <w:numId w:val="17"/>
        </w:numPr>
        <w:rPr>
          <w:rFonts w:cstheme="minorHAnsi"/>
          <w:b/>
        </w:rPr>
      </w:pPr>
      <w:r w:rsidRPr="00F3671E">
        <w:rPr>
          <w:rFonts w:cstheme="minorHAnsi"/>
          <w:b/>
        </w:rPr>
        <w:t>Dotyczy załącznika nr 1.1 do SIWZ, pkt. 7</w:t>
      </w:r>
    </w:p>
    <w:p w:rsidR="00622947" w:rsidRDefault="00622947" w:rsidP="00F3671E">
      <w:pPr>
        <w:rPr>
          <w:rFonts w:asciiTheme="minorHAnsi" w:hAnsiTheme="minorHAnsi" w:cstheme="minorHAnsi"/>
        </w:rPr>
      </w:pPr>
      <w:r>
        <w:rPr>
          <w:rFonts w:asciiTheme="minorHAnsi" w:hAnsiTheme="minorHAnsi" w:cstheme="minorHAnsi"/>
        </w:rPr>
        <w:t xml:space="preserve">Czy Zamawiający wyrazi zgodę na modyfikację w/w zapisu na: </w:t>
      </w:r>
      <w:r>
        <w:rPr>
          <w:rFonts w:asciiTheme="minorHAnsi" w:hAnsiTheme="minorHAnsi" w:cstheme="minorHAnsi"/>
          <w:i/>
        </w:rPr>
        <w:t>„Zapewniony czas rozpoczęcia naprawy do 16 godzin od przyjęcia zgłoszenia naprawy w godzinach pracy serwisu.”</w:t>
      </w:r>
      <w:r>
        <w:rPr>
          <w:rFonts w:asciiTheme="minorHAnsi" w:hAnsiTheme="minorHAnsi" w:cstheme="minorHAnsi"/>
        </w:rPr>
        <w:t>?</w:t>
      </w:r>
    </w:p>
    <w:p w:rsidR="00622947" w:rsidRDefault="00622947" w:rsidP="00F3671E">
      <w:pPr>
        <w:rPr>
          <w:rFonts w:asciiTheme="minorHAnsi" w:hAnsiTheme="minorHAnsi" w:cstheme="minorHAnsi"/>
        </w:rPr>
      </w:pPr>
      <w:r>
        <w:rPr>
          <w:rFonts w:asciiTheme="minorHAnsi" w:hAnsiTheme="minorHAnsi" w:cstheme="minorHAnsi"/>
        </w:rPr>
        <w:t>Uprzejmie prosimy o zmianę. Odpowiedzialność w polskim systemie prawa cywilnego opiera się co do zasady na zasadzie winy a nie ryzyka, z tego też względu słowo „gwarancja” / „gwarantuje” lub „ryzyko” (wskazujące na zasady odpowiedzialności oparte na zasadzie ryzyka) jest mylące. Właściwymi są min. takie słowa jak „zobowiązuje się”, „zapewnia” „oświadcza, że” „odpowiedzialność” itp.</w:t>
      </w:r>
    </w:p>
    <w:p w:rsidR="00622947" w:rsidRDefault="00622947" w:rsidP="00F3671E">
      <w:pPr>
        <w:rPr>
          <w:rFonts w:asciiTheme="minorHAnsi" w:hAnsiTheme="minorHAnsi" w:cstheme="minorHAnsi"/>
        </w:rPr>
      </w:pPr>
    </w:p>
    <w:p w:rsidR="00622947" w:rsidRPr="00F3671E" w:rsidRDefault="00622947" w:rsidP="00F3671E">
      <w:pPr>
        <w:pStyle w:val="Akapitzlist"/>
        <w:numPr>
          <w:ilvl w:val="1"/>
          <w:numId w:val="17"/>
        </w:numPr>
        <w:rPr>
          <w:rFonts w:cstheme="minorHAnsi"/>
          <w:b/>
        </w:rPr>
      </w:pPr>
      <w:r w:rsidRPr="00F3671E">
        <w:rPr>
          <w:rFonts w:cstheme="minorHAnsi"/>
          <w:b/>
        </w:rPr>
        <w:t>Dotyczy załącznika nr 1.1 do SIWZ, pkt. 7</w:t>
      </w:r>
    </w:p>
    <w:p w:rsidR="00622947" w:rsidRDefault="00622947" w:rsidP="00F3671E">
      <w:pPr>
        <w:rPr>
          <w:rFonts w:asciiTheme="minorHAnsi" w:hAnsiTheme="minorHAnsi" w:cstheme="minorHAnsi"/>
        </w:rPr>
      </w:pPr>
      <w:r>
        <w:rPr>
          <w:rFonts w:asciiTheme="minorHAnsi" w:hAnsiTheme="minorHAnsi" w:cstheme="minorHAnsi"/>
        </w:rPr>
        <w:t>Prosimy o ujednolicenie w/w zapisu z zapisami załącznika nr 9 do SIWZ, §15, ust. 9 pkt. 1).</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1.1 do SIWZ, pkt. 8</w:t>
      </w:r>
    </w:p>
    <w:p w:rsidR="00622947" w:rsidRDefault="00622947" w:rsidP="00F3671E">
      <w:pPr>
        <w:rPr>
          <w:rFonts w:asciiTheme="minorHAnsi" w:hAnsiTheme="minorHAnsi" w:cs="Arial"/>
        </w:rPr>
      </w:pPr>
      <w:r>
        <w:rPr>
          <w:rFonts w:asciiTheme="minorHAnsi" w:hAnsiTheme="minorHAnsi" w:cs="Arial"/>
        </w:rPr>
        <w:t>Czy Zamawiający doprecyzuje zapis poprzez wprowadzenie informacji, że w przypadku koniczności sprowadzenia części zamiennych z zza granicy czas usunięcia awarii zostaje wydłużony do 5 dni roboczych?</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1.1 do SIWZ, pkt. 9</w:t>
      </w:r>
    </w:p>
    <w:p w:rsidR="00622947" w:rsidRDefault="00622947" w:rsidP="00F3671E">
      <w:pPr>
        <w:rPr>
          <w:rFonts w:asciiTheme="minorHAnsi" w:hAnsiTheme="minorHAnsi" w:cstheme="minorHAnsi"/>
        </w:rPr>
      </w:pPr>
      <w:r>
        <w:rPr>
          <w:rFonts w:asciiTheme="minorHAnsi" w:hAnsiTheme="minorHAnsi" w:cstheme="minorHAnsi"/>
        </w:rPr>
        <w:t>Czy Zamawiający wyrazi zgodę na wykreślenie w/w zapisu?</w:t>
      </w:r>
    </w:p>
    <w:p w:rsidR="00622947" w:rsidRDefault="00622947" w:rsidP="00F3671E">
      <w:pPr>
        <w:rPr>
          <w:rFonts w:asciiTheme="minorHAnsi" w:hAnsiTheme="minorHAnsi" w:cstheme="minorHAnsi"/>
        </w:rPr>
      </w:pPr>
      <w:r>
        <w:rPr>
          <w:rFonts w:asciiTheme="minorHAnsi" w:hAnsiTheme="minorHAnsi" w:cstheme="minorHAnsi"/>
        </w:rPr>
        <w:t>To jest instytucja gwarancji jakości a nie tzw. umowa "utrzymaniowa".</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1.1 do SIWZ, pkt. 9</w:t>
      </w:r>
    </w:p>
    <w:p w:rsidR="00622947" w:rsidRDefault="00622947" w:rsidP="00F3671E">
      <w:pPr>
        <w:rPr>
          <w:rFonts w:asciiTheme="minorHAnsi" w:hAnsiTheme="minorHAnsi"/>
        </w:rPr>
      </w:pPr>
      <w:r>
        <w:rPr>
          <w:rFonts w:asciiTheme="minorHAnsi" w:hAnsiTheme="minorHAnsi"/>
        </w:rPr>
        <w:t>Prosimy o doprecyzowanie że zapis ten dotyczy niesprawności sprzętu skutkującej brakiem możliwości jego eksploatacji. Mogą się zdarzyć drobne usterki które Wykonawca będzie usuwał w terminach późniejszych, uzgodnionych z użytkownikiem w celu zapewnienia jak największej dostępności aparatu w celu wykonywania rutynowej pracy oraz czas niezbędny na wykonanie planowych czynności serwisowych, tj. przeglądy okresowe oraz modyfikacje i aktualizacje zlecone przez producenta urządzenia jest wyłączony z tych 20 dni.</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1.1 do SIWZ, pkt. 14</w:t>
      </w:r>
    </w:p>
    <w:p w:rsidR="00622947" w:rsidRDefault="00622947" w:rsidP="00F3671E">
      <w:pPr>
        <w:rPr>
          <w:rFonts w:asciiTheme="minorHAnsi" w:hAnsiTheme="minorHAnsi" w:cstheme="minorHAnsi"/>
        </w:rPr>
      </w:pPr>
      <w:r>
        <w:rPr>
          <w:rFonts w:asciiTheme="minorHAnsi" w:hAnsiTheme="minorHAnsi" w:cstheme="minorHAnsi"/>
        </w:rPr>
        <w:lastRenderedPageBreak/>
        <w:t xml:space="preserve">Czy Zamawiający wyrazi zgodę na modyfikację w/w zapisu na: </w:t>
      </w:r>
      <w:r>
        <w:rPr>
          <w:rFonts w:asciiTheme="minorHAnsi" w:hAnsiTheme="minorHAnsi" w:cstheme="minorHAnsi"/>
          <w:i/>
        </w:rPr>
        <w:t xml:space="preserve">„Wykonawca poda zapewnioną przez okres 3 lat po zakończeniu gwarancji wartość serwisu pogwarancyjnego dla wszystkich oferowanych urządzeń, obejmującą części zamienne (w tym działa elektronowe, sekcje przyspieszające, półprzewodnikowe detektory obrazu, lampy </w:t>
      </w:r>
      <w:proofErr w:type="spellStart"/>
      <w:r>
        <w:rPr>
          <w:rFonts w:asciiTheme="minorHAnsi" w:hAnsiTheme="minorHAnsi" w:cstheme="minorHAnsi"/>
          <w:i/>
        </w:rPr>
        <w:t>rtg</w:t>
      </w:r>
      <w:proofErr w:type="spellEnd"/>
      <w:r>
        <w:rPr>
          <w:rFonts w:asciiTheme="minorHAnsi" w:hAnsiTheme="minorHAnsi" w:cstheme="minorHAnsi"/>
          <w:i/>
        </w:rPr>
        <w:t>), wymagane opłaty licencyjne oraz czynności serwisowe.”</w:t>
      </w:r>
      <w:r>
        <w:rPr>
          <w:rFonts w:asciiTheme="minorHAnsi" w:hAnsiTheme="minorHAnsi" w:cstheme="minorHAnsi"/>
        </w:rPr>
        <w:t>?</w:t>
      </w:r>
    </w:p>
    <w:p w:rsidR="00622947" w:rsidRDefault="00622947" w:rsidP="00F3671E">
      <w:pPr>
        <w:rPr>
          <w:rFonts w:asciiTheme="minorHAnsi" w:hAnsiTheme="minorHAnsi" w:cstheme="minorHAnsi"/>
        </w:rPr>
      </w:pPr>
      <w:r>
        <w:rPr>
          <w:rFonts w:asciiTheme="minorHAnsi" w:hAnsiTheme="minorHAnsi" w:cstheme="minorHAnsi"/>
        </w:rPr>
        <w:t>Uprzejmie prosimy o zmianę. Odpowiedzialność w polskim systemie prawa cywilnego opiera się co do zasady na zasadzie winy a nie ryzyka, z tego też względu słowo „gwarancja” / „gwarantuje” lub „ryzyko” (wskazujące na zasady odpowiedzialności oparte na zasadzie ryzyka) jest mylące. Właściwymi są min. takie słowa jak „zobowiązuje się”, „zapewnia” „oświadcza, że” „odpowiedzialność” itp.</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1.1 do SIWZ, pkt. 15</w:t>
      </w:r>
    </w:p>
    <w:p w:rsidR="00622947" w:rsidRDefault="00622947" w:rsidP="00F3671E">
      <w:pPr>
        <w:rPr>
          <w:rFonts w:asciiTheme="minorHAnsi" w:hAnsiTheme="minorHAnsi" w:cstheme="minorHAnsi"/>
        </w:rPr>
      </w:pPr>
      <w:r>
        <w:rPr>
          <w:rFonts w:asciiTheme="minorHAnsi" w:hAnsiTheme="minorHAnsi" w:cstheme="minorHAnsi"/>
        </w:rPr>
        <w:t xml:space="preserve">Czy Zamawiający wyrazi zgodę na modyfikację w/w zapisu na: </w:t>
      </w:r>
      <w:r>
        <w:rPr>
          <w:rFonts w:asciiTheme="minorHAnsi" w:hAnsiTheme="minorHAnsi" w:cstheme="minorHAnsi"/>
          <w:i/>
        </w:rPr>
        <w:t>„Okres zapewnienia dostępności i możliwości zakupu części zamiennych oraz wyposażenia eksploatacyjnego powinien wynosić minimum 10 lat od daty kończącej okres gwarancji (za wyjątkiem sprzętu komputerowego, na który zapewnia się okres min. 5 lat)”</w:t>
      </w:r>
      <w:r>
        <w:rPr>
          <w:rFonts w:asciiTheme="minorHAnsi" w:hAnsiTheme="minorHAnsi" w:cstheme="minorHAnsi"/>
        </w:rPr>
        <w:t>?</w:t>
      </w:r>
    </w:p>
    <w:p w:rsidR="00622947" w:rsidRDefault="00622947" w:rsidP="00F3671E">
      <w:pPr>
        <w:rPr>
          <w:rFonts w:asciiTheme="minorHAnsi" w:hAnsiTheme="minorHAnsi" w:cstheme="minorHAnsi"/>
        </w:rPr>
      </w:pPr>
      <w:r>
        <w:rPr>
          <w:rFonts w:asciiTheme="minorHAnsi" w:hAnsiTheme="minorHAnsi" w:cstheme="minorHAnsi"/>
        </w:rPr>
        <w:t>Uprzejmie prosimy o zmianę. Odpowiedzialność w polskim systemie prawa cywilnego opiera się co do zasady na zasadzie winy a nie ryzyka, z tego też względu słowo „gwarancja” / „gwarantuje” lub „ryzyko” (wskazujące na zasady odpowiedzialności oparte na zasadzie ryzyka) jest mylące. Właściwymi są min. takie słowa jak „zobowiązuje się”, „zapewnia” „oświadcza, że” „odpowiedzialność” itp.</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1.1 do SIWZ, pkt. 19</w:t>
      </w:r>
    </w:p>
    <w:p w:rsidR="00622947" w:rsidRDefault="00622947" w:rsidP="00F3671E">
      <w:pPr>
        <w:rPr>
          <w:rFonts w:asciiTheme="minorHAnsi" w:hAnsiTheme="minorHAnsi" w:cstheme="minorHAnsi"/>
        </w:rPr>
      </w:pPr>
      <w:r>
        <w:rPr>
          <w:rFonts w:asciiTheme="minorHAnsi" w:hAnsiTheme="minorHAnsi" w:cstheme="minorHAnsi"/>
        </w:rPr>
        <w:t>Czy Zamawiający ujednolici w/w zapis z zapisami załącznika nr 9 do SIWZ, §15 ust. 12?</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1.1 do SIWZ, pkt. 20</w:t>
      </w:r>
    </w:p>
    <w:p w:rsidR="00622947" w:rsidRDefault="00622947" w:rsidP="00F3671E">
      <w:pPr>
        <w:rPr>
          <w:rFonts w:asciiTheme="minorHAnsi" w:hAnsiTheme="minorHAnsi" w:cstheme="minorHAnsi"/>
        </w:rPr>
      </w:pPr>
      <w:r>
        <w:rPr>
          <w:rFonts w:asciiTheme="minorHAnsi" w:hAnsiTheme="minorHAnsi" w:cstheme="minorHAnsi"/>
        </w:rPr>
        <w:t>Czy Zamawiający wyrazi zgodę na wykreślenie w/w zapisu?</w:t>
      </w:r>
    </w:p>
    <w:p w:rsidR="00622947" w:rsidRDefault="00622947" w:rsidP="00F3671E">
      <w:pPr>
        <w:rPr>
          <w:rFonts w:asciiTheme="minorHAnsi" w:hAnsiTheme="minorHAnsi" w:cstheme="minorHAnsi"/>
        </w:rPr>
      </w:pPr>
      <w:r>
        <w:rPr>
          <w:rFonts w:asciiTheme="minorHAnsi" w:hAnsiTheme="minorHAnsi" w:cstheme="minorHAnsi"/>
        </w:rPr>
        <w:t>To jest instytucja gwarancji jakości a nie tzw. umowa "utrzymaniowa".</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§6 ust. 1, pkt.7) i §7 ust. 3 pkt. 9)</w:t>
      </w:r>
    </w:p>
    <w:p w:rsidR="00622947" w:rsidRDefault="00622947" w:rsidP="00F3671E">
      <w:pPr>
        <w:rPr>
          <w:rFonts w:asciiTheme="minorHAnsi" w:hAnsiTheme="minorHAnsi"/>
          <w:color w:val="000000"/>
        </w:rPr>
      </w:pPr>
      <w:r>
        <w:rPr>
          <w:rFonts w:asciiTheme="minorHAnsi" w:hAnsiTheme="minorHAnsi"/>
          <w:color w:val="000000"/>
        </w:rPr>
        <w:t xml:space="preserve">Czy Zamawiający akceptuje dostarczenie kodów dostępu do oprogramowania serwisowego po zakończeniu gwarancji podstawowej na urządzenie na każde życzenie Zamawiającego, ponieważ dla zapewnienia bezpiecznej eksploatacji urządzenia medycznego są one generowane na czas wykonywania naprawy i nie mogą być generowane „na przyszłość”? W okresie gwarancji jedynym dysponentem kodów dostępu do oprogramowania serwisowego jest podmiot świadczący gwarancję, ponieważ niewłaściwe wykorzystanie oprogramowania serwisowego stanowi zagrożenie dla zdrowia i życia pacjentów oraz stanu urządzenia medycznego. </w:t>
      </w:r>
    </w:p>
    <w:p w:rsidR="00622947" w:rsidRDefault="00622947" w:rsidP="00F3671E">
      <w:pPr>
        <w:rPr>
          <w:rFonts w:asciiTheme="minorHAnsi" w:hAnsiTheme="minorHAnsi"/>
        </w:rPr>
      </w:pPr>
      <w:r>
        <w:rPr>
          <w:rFonts w:asciiTheme="minorHAnsi" w:hAnsiTheme="minorHAnsi"/>
          <w:color w:val="000000"/>
        </w:rPr>
        <w:t>W związku z tym</w:t>
      </w:r>
      <w:r>
        <w:rPr>
          <w:rFonts w:asciiTheme="minorHAnsi" w:hAnsiTheme="minorHAnsi"/>
          <w:color w:val="FF0000"/>
        </w:rPr>
        <w:t xml:space="preserve"> </w:t>
      </w:r>
      <w:r>
        <w:rPr>
          <w:rFonts w:asciiTheme="minorHAnsi" w:hAnsiTheme="minorHAnsi"/>
        </w:rPr>
        <w:t xml:space="preserve">prosimy o potwierdzenie że intencją Zamawiającego jest uzyskanie kodów/haseł/kluczy serwisowych lub innych zabezpieczeń sprzętowych (m.in. </w:t>
      </w:r>
      <w:proofErr w:type="spellStart"/>
      <w:r>
        <w:rPr>
          <w:rFonts w:asciiTheme="minorHAnsi" w:hAnsiTheme="minorHAnsi"/>
        </w:rPr>
        <w:t>dongli</w:t>
      </w:r>
      <w:proofErr w:type="spellEnd"/>
      <w:r>
        <w:rPr>
          <w:rFonts w:asciiTheme="minorHAnsi" w:hAnsiTheme="minorHAnsi"/>
        </w:rPr>
        <w:t>), których uzyskanie, po podpisaniu stosownego protokołu przekazania, umożliwi Zamawiającemu dostęp wyłącznie do oprogramowania serwisowego niezbędnego z technicznego punktu widzenia w celu wykonywania montażu, instalacji, regulacji, testowania oraz serwisu/ utrzymania przedmiotowego urządzenia.</w:t>
      </w:r>
    </w:p>
    <w:p w:rsidR="00622947" w:rsidRDefault="00622947" w:rsidP="00F3671E">
      <w:pPr>
        <w:rPr>
          <w:rFonts w:asciiTheme="minorHAnsi" w:hAnsiTheme="minorHAnsi"/>
        </w:rPr>
      </w:pPr>
      <w:r>
        <w:rPr>
          <w:rFonts w:asciiTheme="minorHAnsi" w:hAnsiTheme="minorHAnsi"/>
        </w:rPr>
        <w:t>Dodatkowo prosimy o potwierdzenie, że Zamawiający będzie wymagał od potencjalnych podmiotów świadczących pogwarancyjne usługi serwisowe podpisania z Wykonawcą stosownej umowy licencji, która przeniesie wszelkie ryzyka i odpowiedzialności wynikające ze stosowania oprogramowania serwisowego na podmiot świadczący usługi serwisowe. Wykonawca nie będzie miał prawa pobierania dodatkowego wynagrodzenia z tytułu zawarcia umowy licencji na oprogramowanie serwisowe."</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§6 ust. 5 pkt. 1)</w:t>
      </w:r>
    </w:p>
    <w:p w:rsidR="00622947" w:rsidRDefault="00622947" w:rsidP="00F3671E">
      <w:pPr>
        <w:rPr>
          <w:rFonts w:asciiTheme="minorHAnsi" w:hAnsiTheme="minorHAnsi"/>
        </w:rPr>
      </w:pPr>
      <w:r>
        <w:rPr>
          <w:rFonts w:asciiTheme="minorHAnsi" w:hAnsiTheme="minorHAnsi"/>
          <w:bCs/>
        </w:rPr>
        <w:t>Pragniemy zauważyć, że to Zamawiający winien uzyskać zgodę Państwowej Agencji Atomistyki na uruchomienie poszczególnych pracowni. Bez takiej zgody działania związane z użyciem promieniowania i źródeł kalibracyjnych nie będą możliwe. Odbiory pracowni przez PAA mogą wpłynąć na opóźnienie całego procesu.</w:t>
      </w:r>
      <w:r>
        <w:rPr>
          <w:rFonts w:asciiTheme="minorHAnsi" w:hAnsiTheme="minorHAnsi"/>
        </w:rPr>
        <w:t xml:space="preserve"> Czy w obrębie szpitala obecnie jest czynna Pracownia izotopowa? Czy użytkownik ma i może nam udostępnić stosowne zezwolenie PAA dla pracowni? Czy projekt ma akceptację PAA?</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 xml:space="preserve">Dotyczy załącznika nr 9 do SIWZ, §7 ust. 3 pkt. 3) </w:t>
      </w:r>
    </w:p>
    <w:p w:rsidR="00622947" w:rsidRDefault="00622947" w:rsidP="00F3671E">
      <w:pPr>
        <w:rPr>
          <w:rFonts w:ascii="Calibri" w:hAnsi="Calibri"/>
        </w:rPr>
      </w:pPr>
      <w:r>
        <w:rPr>
          <w:rFonts w:ascii="Calibri" w:hAnsi="Calibri"/>
        </w:rPr>
        <w:t>Czy szczegółowe Instrukcje obsługi urządzeń w wersji elektronicznej i papierowej będą wystarczające?</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 xml:space="preserve">Dotyczy załącznika nr 9 do SIWZ, §7 ust. 8 </w:t>
      </w:r>
    </w:p>
    <w:p w:rsidR="00622947" w:rsidRDefault="00622947" w:rsidP="00F3671E">
      <w:pPr>
        <w:rPr>
          <w:rFonts w:asciiTheme="minorHAnsi" w:hAnsiTheme="minorHAnsi" w:cstheme="minorHAnsi"/>
        </w:rPr>
      </w:pPr>
      <w:r>
        <w:rPr>
          <w:rFonts w:asciiTheme="minorHAnsi" w:hAnsiTheme="minorHAnsi" w:cstheme="minorHAnsi"/>
        </w:rPr>
        <w:t xml:space="preserve">Czy Zamawiający wyrazi zgodę na dodanie do projektu umowy zastrzeżenia o treści: </w:t>
      </w:r>
      <w:r>
        <w:rPr>
          <w:rFonts w:asciiTheme="minorHAnsi" w:hAnsiTheme="minorHAnsi" w:cstheme="minorHAnsi"/>
          <w:i/>
        </w:rPr>
        <w:t>„</w:t>
      </w:r>
      <w:r>
        <w:rPr>
          <w:rFonts w:asciiTheme="minorHAnsi" w:hAnsiTheme="minorHAnsi"/>
          <w:i/>
        </w:rPr>
        <w:t>powyższe nie dotyczy to wad nieistotnych, które nie będą podstawą odmowy dokonania przez Zamawiającego odbioru. Wady takie zostaną wskazane w protokole odbioru a Wykonawca usunie je w uzgodnionym przez Strony terminie. Przez wady nieistotne rozumie się w szczególności wady, które nie uniemożliwiają korzystania z przedmiotu umowy zgodnie z jego przeznaczeniem.</w:t>
      </w:r>
      <w:r>
        <w:rPr>
          <w:rFonts w:asciiTheme="minorHAnsi" w:hAnsiTheme="minorHAnsi" w:cstheme="minorHAnsi"/>
          <w:i/>
        </w:rPr>
        <w:t>”</w:t>
      </w:r>
      <w:r>
        <w:rPr>
          <w:rFonts w:asciiTheme="minorHAnsi" w:hAnsiTheme="minorHAnsi" w:cstheme="minorHAnsi"/>
        </w:rPr>
        <w:t>?</w:t>
      </w:r>
    </w:p>
    <w:p w:rsidR="00622947" w:rsidRDefault="00622947" w:rsidP="00F3671E">
      <w:pPr>
        <w:rPr>
          <w:rFonts w:asciiTheme="minorHAnsi" w:hAnsiTheme="minorHAnsi" w:cs="Arial"/>
        </w:rPr>
      </w:pPr>
      <w:r>
        <w:rPr>
          <w:rFonts w:asciiTheme="minorHAnsi" w:hAnsiTheme="minorHAnsi" w:cs="Arial"/>
        </w:rPr>
        <w:t>Mając na uwadze orzecznictwo sądów różnych szczebli, w tym orzecznictwo Sądu Najwyższego, Zamawiający nie może odmówić odbioru z powodu wad nieistotnych, tj. wad które nie uniemożliwiają korzystania z przedmiotu odbioru zgodnie z jego przeznaczeniem.</w:t>
      </w:r>
    </w:p>
    <w:p w:rsidR="00622947" w:rsidRDefault="00622947" w:rsidP="00F3671E">
      <w:pPr>
        <w:rPr>
          <w:rFonts w:asciiTheme="minorHAnsi" w:hAnsiTheme="minorHAnsi" w:cs="Arial"/>
        </w:rPr>
      </w:pPr>
    </w:p>
    <w:p w:rsidR="00622947" w:rsidRPr="00F3671E" w:rsidRDefault="00622947" w:rsidP="00F3671E">
      <w:pPr>
        <w:pStyle w:val="Akapitzlist"/>
        <w:numPr>
          <w:ilvl w:val="0"/>
          <w:numId w:val="17"/>
        </w:numPr>
        <w:rPr>
          <w:rFonts w:cstheme="minorHAnsi"/>
          <w:b/>
        </w:rPr>
      </w:pPr>
      <w:r w:rsidRPr="00F3671E">
        <w:rPr>
          <w:rFonts w:cstheme="minorHAnsi"/>
          <w:b/>
        </w:rPr>
        <w:t xml:space="preserve">Dotyczy załącznika nr 9 do SIWZ, §7 ust. 9 </w:t>
      </w:r>
    </w:p>
    <w:p w:rsidR="00622947" w:rsidRDefault="00622947" w:rsidP="00F3671E">
      <w:pPr>
        <w:rPr>
          <w:rFonts w:asciiTheme="minorHAnsi" w:hAnsiTheme="minorHAnsi" w:cstheme="minorHAnsi"/>
        </w:rPr>
      </w:pPr>
      <w:r>
        <w:rPr>
          <w:rFonts w:asciiTheme="minorHAnsi" w:hAnsiTheme="minorHAnsi" w:cstheme="minorHAnsi"/>
        </w:rPr>
        <w:t xml:space="preserve">Czy Zamawiający wyrazi zgodę na modyfikację w/w zapisu na: </w:t>
      </w:r>
      <w:r>
        <w:rPr>
          <w:rFonts w:asciiTheme="minorHAnsi" w:hAnsiTheme="minorHAnsi" w:cstheme="minorHAnsi"/>
          <w:i/>
        </w:rPr>
        <w:t>„</w:t>
      </w:r>
      <w:r>
        <w:rPr>
          <w:rFonts w:asciiTheme="minorHAnsi" w:hAnsiTheme="minorHAnsi"/>
          <w:i/>
        </w:rPr>
        <w:t>Wykonawca zobowiązany będzie do usunięcia stwierdzonych w trakcie odbioru wad (zawartych w Protokole usterek) w terminie uzgodnionym przez Strony (nie dłuższym jednak niż 1 (jeden) tydzień) z zastrzeżeniem, iż po upływie tego terminu Zamawiający będzie mógł odstąpić od umowy w przypadku wad istotnych albo zażądać stosownego obniżenia wynagrodzenia, pod warunkiem uprzedniego wezwania Wykonawcy do należytego wykonania umowy, w formie pisemnej pod rygorem nieważności, w wyznaczonym dodatkowym i odpowiednim terminie, po bezskutecznym upływie tego terminu.</w:t>
      </w:r>
      <w:r>
        <w:rPr>
          <w:rFonts w:asciiTheme="minorHAnsi" w:hAnsiTheme="minorHAnsi" w:cstheme="minorHAnsi"/>
          <w:i/>
        </w:rPr>
        <w:t>”</w:t>
      </w:r>
      <w:r>
        <w:rPr>
          <w:rFonts w:asciiTheme="minorHAnsi" w:hAnsiTheme="minorHAnsi" w:cstheme="minorHAnsi"/>
        </w:rPr>
        <w:t>?</w:t>
      </w:r>
    </w:p>
    <w:p w:rsidR="00622947" w:rsidRDefault="00622947" w:rsidP="00F3671E">
      <w:pPr>
        <w:pStyle w:val="Tekstkomentarza"/>
        <w:rPr>
          <w:rFonts w:asciiTheme="minorHAnsi" w:hAnsiTheme="minorHAnsi" w:cs="Arial"/>
          <w:lang w:val="pl-PL"/>
        </w:rPr>
      </w:pPr>
      <w:r>
        <w:rPr>
          <w:rFonts w:asciiTheme="minorHAnsi" w:hAnsiTheme="minorHAnsi" w:cs="Arial"/>
          <w:lang w:val="pl-PL"/>
        </w:rPr>
        <w:t xml:space="preserve">Odstąpienie od umowy jest najdrastyczniejszą (nadzwyczajną) formą rozwiązania problemów występujących w trakcie wykonywania umowy, z tego też względu nie powinno mieć miejsca, jeśli Wykonawca, nawet z powodów przez siebie zawinionych, nie wykonuje umowy w sposób w pełni należyty, jeśli takie uchybienia byłyby stosunkowo niewielkie. </w:t>
      </w:r>
    </w:p>
    <w:p w:rsidR="00622947" w:rsidRDefault="00622947" w:rsidP="00F3671E">
      <w:pPr>
        <w:pStyle w:val="Tekstkomentarza"/>
        <w:rPr>
          <w:rFonts w:asciiTheme="minorHAnsi" w:hAnsiTheme="minorHAnsi"/>
          <w:lang w:val="pl-PL"/>
        </w:rPr>
      </w:pPr>
      <w:r>
        <w:rPr>
          <w:rFonts w:asciiTheme="minorHAnsi" w:hAnsiTheme="minorHAnsi"/>
          <w:lang w:val="pl-PL"/>
        </w:rPr>
        <w:t>Tego rodzaju wcześniejsze wezwanie – w formie pisemnej i z wyznaczeniem odpowiedniego terminu - Wykonawcy do należytego wykonania umowy, zanim dojdzie do odstąpienia od umowy jest wskazaną, powszechną i należytą praktyką występującą tak na rynku umów prywatnych, jak i umów publicznych.</w:t>
      </w:r>
    </w:p>
    <w:p w:rsidR="00622947" w:rsidRDefault="00622947" w:rsidP="00F3671E">
      <w:pPr>
        <w:rPr>
          <w:rFonts w:asciiTheme="minorHAnsi" w:hAnsiTheme="minorHAnsi" w:cs="Arial"/>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§10 ust. 1</w:t>
      </w:r>
    </w:p>
    <w:p w:rsidR="00622947" w:rsidRDefault="00622947" w:rsidP="00F3671E">
      <w:pPr>
        <w:rPr>
          <w:rFonts w:asciiTheme="minorHAnsi" w:hAnsiTheme="minorHAnsi" w:cstheme="minorHAnsi"/>
        </w:rPr>
      </w:pPr>
      <w:r>
        <w:rPr>
          <w:rFonts w:asciiTheme="minorHAnsi" w:hAnsiTheme="minorHAnsi" w:cstheme="minorHAnsi"/>
        </w:rPr>
        <w:t xml:space="preserve">Czy Zamawiający wyrazi zgodę na modyfikację w/w zapisu na: </w:t>
      </w:r>
      <w:r>
        <w:rPr>
          <w:rFonts w:asciiTheme="minorHAnsi" w:hAnsiTheme="minorHAnsi" w:cstheme="minorHAnsi"/>
          <w:i/>
        </w:rPr>
        <w:t>„</w:t>
      </w:r>
      <w:r>
        <w:rPr>
          <w:rFonts w:asciiTheme="minorHAnsi" w:hAnsiTheme="minorHAnsi"/>
          <w:i/>
        </w:rPr>
        <w:t>W przypadku naruszenia jakichkolwiek praw osób trzecich Wykonawca zobowiązany jest do zaspokojenia wszelkich roszczeń z tego tytułu wysuwanych przez te osoby i w tym zakresie zwalnia Zamawiającego od jakiejkolwiek odpowiedzialności z tego tytułu.</w:t>
      </w:r>
      <w:r>
        <w:rPr>
          <w:rFonts w:asciiTheme="minorHAnsi" w:hAnsiTheme="minorHAnsi" w:cstheme="minorHAnsi"/>
          <w:i/>
        </w:rPr>
        <w:t>”</w:t>
      </w:r>
      <w:r>
        <w:rPr>
          <w:rFonts w:asciiTheme="minorHAnsi" w:hAnsiTheme="minorHAnsi" w:cstheme="minorHAnsi"/>
        </w:rPr>
        <w:t>?</w:t>
      </w:r>
    </w:p>
    <w:p w:rsidR="00622947" w:rsidRDefault="00622947" w:rsidP="00F3671E">
      <w:pPr>
        <w:rPr>
          <w:rFonts w:asciiTheme="minorHAnsi" w:hAnsiTheme="minorHAnsi" w:cs="Arial"/>
        </w:rPr>
      </w:pPr>
      <w:r>
        <w:rPr>
          <w:rFonts w:asciiTheme="minorHAnsi" w:hAnsiTheme="minorHAnsi"/>
        </w:rPr>
        <w:t>Oprogramowanie użytkowe jest integralną częścią aparatury / sprzętu medycznego / tworzy taką aparaturę / sprzęt medyczny  i nie ma potrzeby, jak również nie praktykuje się, oddzielnego udzielania licencji na takie oprogramowanie.</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§10 ust. 2</w:t>
      </w:r>
    </w:p>
    <w:p w:rsidR="00622947" w:rsidRDefault="00622947" w:rsidP="00F3671E">
      <w:pPr>
        <w:rPr>
          <w:rFonts w:asciiTheme="minorHAnsi" w:hAnsiTheme="minorHAnsi" w:cstheme="minorHAnsi"/>
        </w:rPr>
      </w:pPr>
      <w:r>
        <w:rPr>
          <w:rFonts w:asciiTheme="minorHAnsi" w:hAnsiTheme="minorHAnsi" w:cstheme="minorHAnsi"/>
        </w:rPr>
        <w:lastRenderedPageBreak/>
        <w:t>Wnosimy o wykreślenie z projektu umowy w/w zapisu.</w:t>
      </w:r>
    </w:p>
    <w:p w:rsidR="00622947" w:rsidRDefault="00622947" w:rsidP="00F3671E">
      <w:pPr>
        <w:rPr>
          <w:rFonts w:asciiTheme="minorHAnsi" w:hAnsiTheme="minorHAnsi" w:cs="Arial"/>
        </w:rPr>
      </w:pPr>
      <w:r>
        <w:rPr>
          <w:rFonts w:asciiTheme="minorHAnsi" w:hAnsiTheme="minorHAnsi"/>
        </w:rPr>
        <w:t>Oprogramowanie użytkowe jest integralną częścią aparatury / sprzętu medycznego / tworzy taką aparaturę / sprzęt medyczny  i nie ma potrzeby, jak również nie praktykuje się, oddzielnego udzielania licencji na takie oprogramowanie.</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§10 ust. 3 pkt. 1) i 2)</w:t>
      </w:r>
    </w:p>
    <w:p w:rsidR="00622947" w:rsidRDefault="00622947" w:rsidP="00F3671E">
      <w:pPr>
        <w:rPr>
          <w:rFonts w:asciiTheme="minorHAnsi" w:hAnsiTheme="minorHAnsi"/>
          <w:color w:val="000000"/>
        </w:rPr>
      </w:pPr>
      <w:r>
        <w:rPr>
          <w:rFonts w:asciiTheme="minorHAnsi" w:hAnsiTheme="minorHAnsi"/>
          <w:color w:val="000000"/>
        </w:rPr>
        <w:t>Czy Zamawiający potwierdza, że wymaganie dotyczy oprogramowania, którego instalację w urządzenia Zamawiającego zleca producent zachowując dotychczasową konfigurację i funkcjonalność urządzenia?</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§15 ust. 4</w:t>
      </w:r>
    </w:p>
    <w:p w:rsidR="00622947" w:rsidRDefault="00622947" w:rsidP="00F3671E">
      <w:pPr>
        <w:rPr>
          <w:rFonts w:asciiTheme="minorHAnsi" w:hAnsiTheme="minorHAnsi" w:cstheme="minorHAnsi"/>
        </w:rPr>
      </w:pPr>
      <w:r>
        <w:rPr>
          <w:rFonts w:asciiTheme="minorHAnsi" w:hAnsiTheme="minorHAnsi" w:cstheme="minorHAnsi"/>
        </w:rPr>
        <w:t xml:space="preserve">Czy Zamawiający, w celu doprecyzowania, wyrazi zgodę na modyfikację w/w zapisu na: </w:t>
      </w:r>
      <w:r>
        <w:rPr>
          <w:rFonts w:asciiTheme="minorHAnsi" w:hAnsiTheme="minorHAnsi" w:cstheme="minorHAnsi"/>
          <w:i/>
        </w:rPr>
        <w:t>„</w:t>
      </w:r>
      <w:r>
        <w:rPr>
          <w:rFonts w:asciiTheme="minorHAnsi" w:hAnsiTheme="minorHAnsi"/>
          <w:i/>
        </w:rPr>
        <w:t>Wszystkie gwarancyjne czynności serwisowe, w tym przeglądy konserwacyjne w okresie gwarancji będą wykonywane bez naliczania jakichkolwiek opłat – wynagrodzenie za ich wykonanie zawarte jest w wynagrodzeniu wskazanym w § 14 ust. 1 umowy.</w:t>
      </w:r>
      <w:r>
        <w:rPr>
          <w:rFonts w:asciiTheme="minorHAnsi" w:hAnsiTheme="minorHAnsi" w:cstheme="minorHAnsi"/>
          <w:i/>
        </w:rPr>
        <w:t>”</w:t>
      </w:r>
      <w:r>
        <w:rPr>
          <w:rFonts w:asciiTheme="minorHAnsi" w:hAnsiTheme="minorHAnsi" w:cstheme="minorHAnsi"/>
        </w:rPr>
        <w:t>?</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§15 ust. 8</w:t>
      </w:r>
    </w:p>
    <w:p w:rsidR="00622947" w:rsidRDefault="00622947" w:rsidP="00F3671E">
      <w:pPr>
        <w:rPr>
          <w:rFonts w:asciiTheme="minorHAnsi" w:hAnsiTheme="minorHAnsi" w:cstheme="minorHAnsi"/>
        </w:rPr>
      </w:pPr>
      <w:r>
        <w:rPr>
          <w:rFonts w:asciiTheme="minorHAnsi" w:hAnsiTheme="minorHAnsi" w:cstheme="minorHAnsi"/>
        </w:rPr>
        <w:t xml:space="preserve">Czy Zamawiający, w celu doprecyzowania, wyrazi zgodę na modyfikację w/w zapisu na: </w:t>
      </w:r>
      <w:r>
        <w:rPr>
          <w:rFonts w:asciiTheme="minorHAnsi" w:hAnsiTheme="minorHAnsi" w:cstheme="minorHAnsi"/>
          <w:i/>
        </w:rPr>
        <w:t>„</w:t>
      </w:r>
      <w:r>
        <w:rPr>
          <w:rFonts w:asciiTheme="minorHAnsi" w:hAnsiTheme="minorHAnsi"/>
          <w:i/>
        </w:rPr>
        <w:t>Jeżeli z uwagi na rodzaj wady usunięcie jej nie jest możliwe w terminie wskazanym w ust. 6, Wykonawca usunie wadę oraz wynikłe w jej konsekwencji awarie / usterki w najszybszym możliwym terminie uzgodnionym z Zamawiającym, z zastrzeżeniem ust. 8.</w:t>
      </w:r>
      <w:r>
        <w:rPr>
          <w:rFonts w:asciiTheme="minorHAnsi" w:hAnsiTheme="minorHAnsi" w:cstheme="minorHAnsi"/>
          <w:i/>
        </w:rPr>
        <w:t>”</w:t>
      </w:r>
      <w:r>
        <w:rPr>
          <w:rFonts w:asciiTheme="minorHAnsi" w:hAnsiTheme="minorHAnsi" w:cstheme="minorHAnsi"/>
        </w:rPr>
        <w:t>?</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§15 ust. 9</w:t>
      </w:r>
    </w:p>
    <w:p w:rsidR="00622947" w:rsidRDefault="00622947" w:rsidP="00F3671E">
      <w:pPr>
        <w:pStyle w:val="Default"/>
        <w:rPr>
          <w:rFonts w:asciiTheme="minorHAnsi" w:hAnsiTheme="minorHAnsi" w:cstheme="minorHAnsi"/>
        </w:rPr>
      </w:pPr>
      <w:r>
        <w:rPr>
          <w:rFonts w:asciiTheme="minorHAnsi" w:hAnsiTheme="minorHAnsi" w:cstheme="minorHAnsi"/>
          <w:sz w:val="20"/>
          <w:szCs w:val="20"/>
        </w:rPr>
        <w:t xml:space="preserve">Czy Zamawiający, w celu doprecyzowania tego postanowienia, wyrazi zgodę na modyfikację w/w zapisu na: </w:t>
      </w:r>
      <w:r>
        <w:rPr>
          <w:rFonts w:asciiTheme="minorHAnsi" w:hAnsiTheme="minorHAnsi" w:cstheme="minorHAnsi"/>
          <w:i/>
          <w:sz w:val="20"/>
          <w:szCs w:val="20"/>
        </w:rPr>
        <w:t>„</w:t>
      </w:r>
      <w:r>
        <w:rPr>
          <w:rFonts w:asciiTheme="minorHAnsi" w:hAnsiTheme="minorHAnsi"/>
          <w:i/>
          <w:color w:val="auto"/>
          <w:sz w:val="20"/>
          <w:szCs w:val="20"/>
        </w:rPr>
        <w:t xml:space="preserve">Jeżeli stwierdzone wady uniemożliwiałyby użytkowanie obiektu w SOO, a także, gdy ujawniona wada może skutkować zagrożeniem dla życia lub zdrowia ludzi, zanieczyszczeniem środowiska, wystąpieniem niepowetowanej szkody dla Zamawiającego, Wykonawca obowiązany jest: </w:t>
      </w:r>
      <w:r>
        <w:rPr>
          <w:rFonts w:asciiTheme="minorHAnsi" w:hAnsiTheme="minorHAnsi"/>
          <w:i/>
          <w:sz w:val="20"/>
          <w:szCs w:val="20"/>
        </w:rPr>
        <w:t>1) przystąpić do usunięcia wady niezwłocznie, tj. w terminie do 24 godzin od otrzymania zgłoszenia 2) usunąć wadę i powstałe w jej wyniku awarie i usterki w najwcześniejszym możliwym terminie, lecz nie później niż w ciągu 2 dni roboczych od chwili otrzymania wezwania do jej usunięcia. Jeśli usunięcie wady nie będzie możliwe w terminie 2 dni roboczych, Wykonawca powinien zgłosić ten fakt Zamawiającemu podając przyczyny obiektywne uniemożliwiające jego zdaniem jej usunięcie w tym terminie i określić czas potrzebny na jej usunięcie. Zamawiający w takiej sytuacji uprawniony jest do rozważenia możliwości przedłużenia okresu usuwania wady.  Zamawiający powinien niezwłocznie powiadomić faksem lub drogą elektroniczną Wykonawcę o wyrażeniu zgody bądź odmowie wyrażenia zgody na przedłużenie terminu usunięcia wady.</w:t>
      </w:r>
      <w:r>
        <w:rPr>
          <w:rFonts w:asciiTheme="minorHAnsi" w:hAnsiTheme="minorHAnsi" w:cstheme="minorHAnsi"/>
          <w:i/>
        </w:rPr>
        <w:t>”</w:t>
      </w:r>
      <w:r>
        <w:rPr>
          <w:rFonts w:asciiTheme="minorHAnsi" w:hAnsiTheme="minorHAnsi" w:cstheme="minorHAnsi"/>
        </w:rPr>
        <w:t>?</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§15 ust. 9, pkt. 1)</w:t>
      </w:r>
    </w:p>
    <w:p w:rsidR="00622947" w:rsidRDefault="00622947" w:rsidP="00F3671E">
      <w:pPr>
        <w:rPr>
          <w:rFonts w:asciiTheme="minorHAnsi" w:hAnsiTheme="minorHAnsi" w:cs="Arial"/>
        </w:rPr>
      </w:pPr>
      <w:r>
        <w:rPr>
          <w:rFonts w:asciiTheme="minorHAnsi" w:hAnsiTheme="minorHAnsi" w:cs="Arial"/>
        </w:rPr>
        <w:t>Czy Zamawiający dopuszcza reakcję zdalną serwisu w postaci diagnostyki i naprawy z wykorzystaniem połączenia VPN i telefonicznego?</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§15 ust. 10</w:t>
      </w:r>
    </w:p>
    <w:p w:rsidR="00622947" w:rsidRDefault="00622947" w:rsidP="00F3671E">
      <w:pPr>
        <w:rPr>
          <w:rFonts w:ascii="Calibri" w:hAnsi="Calibri"/>
        </w:rPr>
      </w:pPr>
      <w:r>
        <w:rPr>
          <w:rFonts w:ascii="Calibri" w:hAnsi="Calibri"/>
        </w:rPr>
        <w:t>Uprzejmie prosimy o wykreślenie tego ustępu, którego postanowienia nie odpowiadają już powszechnej praktyce, w szczególności w kontekście faktu, iż wykonawcy udzielają już niemalże sztandarowo gwarancji na okres znacznie dłuższy niż ten, który statuuje Kodeks cywilny.</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§15 ust. 13</w:t>
      </w:r>
    </w:p>
    <w:p w:rsidR="00622947" w:rsidRDefault="00622947" w:rsidP="00F3671E">
      <w:pPr>
        <w:rPr>
          <w:rFonts w:asciiTheme="minorHAnsi" w:hAnsiTheme="minorHAnsi" w:cstheme="minorHAnsi"/>
        </w:rPr>
      </w:pPr>
      <w:r>
        <w:rPr>
          <w:rFonts w:asciiTheme="minorHAnsi" w:hAnsiTheme="minorHAnsi" w:cstheme="minorHAnsi"/>
        </w:rPr>
        <w:lastRenderedPageBreak/>
        <w:t xml:space="preserve">Czy Zamawiający wyrazi zgodę na modyfikację w/w zapisu na: </w:t>
      </w:r>
      <w:r>
        <w:rPr>
          <w:rFonts w:asciiTheme="minorHAnsi" w:hAnsiTheme="minorHAnsi" w:cstheme="minorHAnsi"/>
          <w:i/>
        </w:rPr>
        <w:t>„</w:t>
      </w:r>
      <w:r>
        <w:rPr>
          <w:rFonts w:asciiTheme="minorHAnsi" w:hAnsiTheme="minorHAnsi" w:cs="Arial"/>
          <w:i/>
        </w:rPr>
        <w:t>Ani naprawa istotna, ani wymiana urządzenia, ani wymiana części, modułu lub podzespołu w trakcie usuwania wady nie powodują wznowienia okresu gwarancji, jednak jej termin ulega przedłużeniu o czas trwania niesprawności urządzenia, uniemożliwiającej korzystanie z niego.</w:t>
      </w:r>
      <w:r>
        <w:rPr>
          <w:rFonts w:asciiTheme="minorHAnsi" w:hAnsiTheme="minorHAnsi" w:cstheme="minorHAnsi"/>
          <w:i/>
        </w:rPr>
        <w:t>”</w:t>
      </w:r>
      <w:r>
        <w:rPr>
          <w:rFonts w:asciiTheme="minorHAnsi" w:hAnsiTheme="minorHAnsi" w:cstheme="minorHAnsi"/>
        </w:rPr>
        <w:t>?</w:t>
      </w:r>
    </w:p>
    <w:p w:rsidR="00622947" w:rsidRDefault="00622947" w:rsidP="00F3671E">
      <w:pPr>
        <w:rPr>
          <w:rFonts w:ascii="Calibri" w:hAnsi="Calibri"/>
        </w:rPr>
      </w:pPr>
      <w:r>
        <w:rPr>
          <w:rFonts w:ascii="Calibri" w:hAnsi="Calibri"/>
        </w:rPr>
        <w:t>Uprzejmie prosimy o zmianę tego ustępu, którego pierwotne postanowienia nie odpowiadają już powszechnej praktyce, w szczególności w kontekście faktu, iż wykonawcy udzielają już niemalże sztandarowo gwarancji na okres znacznie dłuższy niż ten, który statuuje Kodeks cywilny.</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§15 ust. 11</w:t>
      </w:r>
    </w:p>
    <w:p w:rsidR="00622947" w:rsidRDefault="00622947" w:rsidP="00F3671E">
      <w:pPr>
        <w:pStyle w:val="Default"/>
        <w:rPr>
          <w:rFonts w:asciiTheme="minorHAnsi" w:hAnsiTheme="minorHAnsi" w:cstheme="minorHAnsi"/>
          <w:sz w:val="20"/>
          <w:szCs w:val="20"/>
        </w:rPr>
      </w:pPr>
      <w:r>
        <w:rPr>
          <w:rFonts w:asciiTheme="minorHAnsi" w:hAnsiTheme="minorHAnsi" w:cstheme="minorHAnsi"/>
          <w:sz w:val="20"/>
          <w:szCs w:val="20"/>
        </w:rPr>
        <w:t>Czy Zamawiający wyrazi zgodę na usunięcie w/w zapisu?</w:t>
      </w:r>
    </w:p>
    <w:p w:rsidR="00622947" w:rsidRDefault="00622947" w:rsidP="00F3671E">
      <w:pPr>
        <w:rPr>
          <w:rFonts w:asciiTheme="minorHAnsi" w:hAnsiTheme="minorHAnsi" w:cstheme="minorHAnsi"/>
          <w:sz w:val="20"/>
          <w:szCs w:val="20"/>
        </w:rPr>
      </w:pPr>
      <w:r>
        <w:rPr>
          <w:rFonts w:asciiTheme="minorHAnsi" w:hAnsiTheme="minorHAnsi" w:cstheme="minorHAnsi"/>
        </w:rPr>
        <w:t>Prosimy o tą zmianę zgodnie z obowiązującą w tym zakresie praktyką rynkową, gdyż Wykonawcy nie wiedzą, czy część zamienna jest fabrycznie nowa, czy fabrycznie regenerowana.</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§15 ust. 13</w:t>
      </w:r>
    </w:p>
    <w:p w:rsidR="00622947" w:rsidRDefault="00622947" w:rsidP="00F3671E">
      <w:pPr>
        <w:rPr>
          <w:rFonts w:asciiTheme="minorHAnsi" w:hAnsiTheme="minorHAnsi"/>
          <w:color w:val="000000"/>
        </w:rPr>
      </w:pPr>
      <w:r>
        <w:rPr>
          <w:rFonts w:asciiTheme="minorHAnsi" w:hAnsiTheme="minorHAnsi"/>
          <w:color w:val="000000"/>
        </w:rPr>
        <w:t>Prosimy o potwierdzenie, że obie strony tj. Zamawiający i Wykonawca  uznają za wadę istotną skutkującą rozpoczęciem biegu gwarancji na nowo, taką część lub naprawę, której koszt przekracza 40% ceny brutto urządzenia.</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§15 ust. 14</w:t>
      </w:r>
    </w:p>
    <w:p w:rsidR="00622947" w:rsidRDefault="00622947" w:rsidP="00F3671E">
      <w:pPr>
        <w:rPr>
          <w:rFonts w:asciiTheme="minorHAnsi" w:hAnsiTheme="minorHAnsi" w:cstheme="minorHAnsi"/>
        </w:rPr>
      </w:pPr>
      <w:r>
        <w:rPr>
          <w:rFonts w:asciiTheme="minorHAnsi" w:hAnsiTheme="minorHAnsi" w:cstheme="minorHAnsi"/>
        </w:rPr>
        <w:t xml:space="preserve">Czy Zamawiający wyrazi zgodę na modyfikację w/w zapisu na: </w:t>
      </w:r>
      <w:r>
        <w:rPr>
          <w:rFonts w:asciiTheme="minorHAnsi" w:hAnsiTheme="minorHAnsi" w:cstheme="minorHAnsi"/>
          <w:i/>
        </w:rPr>
        <w:t>„</w:t>
      </w:r>
      <w:r>
        <w:rPr>
          <w:rFonts w:asciiTheme="minorHAnsi" w:hAnsiTheme="minorHAnsi"/>
          <w:i/>
        </w:rPr>
        <w:t>Jeżeli Wykonawca nie przystąpi we właściwym terminie do usunięcia wady oraz naprawienia szkód wyrządzonych taką wadą, wówczas Zamawiający może, po zawiadomieniu o tym Wykonawcę oraz wyznaczeniu odpowiedniego dodatkowego terminu, po jego bezskutecznym upływie, usunąć taką wadę i naprawić wyrządzone szkody we własnym zakresie i na koszt Wykonawcy. Koszty usunięcia wady zostaną w takim przypadku zwrócone Zamawiającemu w całości przez Wykonawcę w terminie 5 dni roboczych od dnia otrzymania żądania Zamawiającego.</w:t>
      </w:r>
      <w:r>
        <w:rPr>
          <w:rFonts w:asciiTheme="minorHAnsi" w:hAnsiTheme="minorHAnsi" w:cstheme="minorHAnsi"/>
          <w:i/>
        </w:rPr>
        <w:t>”</w:t>
      </w:r>
      <w:r>
        <w:rPr>
          <w:rFonts w:asciiTheme="minorHAnsi" w:hAnsiTheme="minorHAnsi" w:cstheme="minorHAnsi"/>
        </w:rPr>
        <w:t>?</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§15 ust. 14</w:t>
      </w:r>
    </w:p>
    <w:p w:rsidR="00622947" w:rsidRDefault="00622947" w:rsidP="00F3671E">
      <w:pPr>
        <w:rPr>
          <w:rFonts w:asciiTheme="minorHAnsi" w:hAnsiTheme="minorHAnsi" w:cstheme="minorHAnsi"/>
        </w:rPr>
      </w:pPr>
      <w:r>
        <w:rPr>
          <w:rFonts w:asciiTheme="minorHAnsi" w:hAnsiTheme="minorHAnsi" w:cstheme="minorHAnsi"/>
        </w:rPr>
        <w:t xml:space="preserve">Czy Zamawiający, w celu doprecyzowania warunków rękojmi, wyrazi zgodę na dodanie do projektu umowy zapisu o treści: </w:t>
      </w:r>
      <w:r>
        <w:rPr>
          <w:rFonts w:asciiTheme="minorHAnsi" w:hAnsiTheme="minorHAnsi" w:cstheme="minorHAnsi"/>
          <w:i/>
        </w:rPr>
        <w:t>„</w:t>
      </w:r>
      <w:r>
        <w:rPr>
          <w:rFonts w:asciiTheme="minorHAnsi" w:hAnsiTheme="minorHAnsi" w:cs="Arial"/>
          <w:i/>
        </w:rPr>
        <w:t>Zasady usuwania wad fizycznych w ramach rękojmi (w tym uprawnienia Zamawiającego z tego tytułu i obowiązki Wykonawcy w tym zakresie)  są takie same jak w przypadku usuwania wad fizycznych w ramach gwarancji.</w:t>
      </w:r>
      <w:r>
        <w:rPr>
          <w:rFonts w:asciiTheme="minorHAnsi" w:hAnsiTheme="minorHAnsi" w:cstheme="minorHAnsi"/>
          <w:i/>
        </w:rPr>
        <w:t>”</w:t>
      </w:r>
      <w:r>
        <w:rPr>
          <w:rFonts w:asciiTheme="minorHAnsi" w:hAnsiTheme="minorHAnsi" w:cstheme="minorHAnsi"/>
        </w:rPr>
        <w:t>?</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§17</w:t>
      </w:r>
    </w:p>
    <w:p w:rsidR="00622947" w:rsidRDefault="00622947" w:rsidP="00F3671E">
      <w:pPr>
        <w:rPr>
          <w:rFonts w:ascii="Calibri" w:hAnsi="Calibri"/>
        </w:rPr>
      </w:pPr>
      <w:r>
        <w:rPr>
          <w:rFonts w:ascii="Calibri" w:hAnsi="Calibri"/>
        </w:rPr>
        <w:t>Uprzejmie prosimy o zastąpienie kar umownych z tytułu opóźnienia karami umownymi z tytułu zwłoki. Zgodnie z art.476 Kodeksu cywilnego, Wykonawca odpowiada za opóźnienie, za które ponosi odpowiedzialność, czyli właśnie zwłokę.</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§17 ust. 2 pkt. 1)</w:t>
      </w:r>
    </w:p>
    <w:p w:rsidR="00622947" w:rsidRDefault="00622947" w:rsidP="00F3671E">
      <w:pPr>
        <w:rPr>
          <w:rFonts w:asciiTheme="minorHAnsi" w:hAnsiTheme="minorHAnsi" w:cstheme="minorHAnsi"/>
        </w:rPr>
      </w:pPr>
      <w:r>
        <w:rPr>
          <w:rFonts w:asciiTheme="minorHAnsi" w:hAnsiTheme="minorHAnsi" w:cstheme="minorHAnsi"/>
        </w:rPr>
        <w:t xml:space="preserve">Czy Zamawiający wyrazi zgodę na modyfikację w/w zapisu na: </w:t>
      </w:r>
      <w:r>
        <w:rPr>
          <w:rFonts w:asciiTheme="minorHAnsi" w:hAnsiTheme="minorHAnsi" w:cstheme="minorHAnsi"/>
          <w:i/>
        </w:rPr>
        <w:t>„</w:t>
      </w:r>
      <w:r>
        <w:rPr>
          <w:rFonts w:asciiTheme="minorHAnsi" w:hAnsiTheme="minorHAnsi"/>
          <w:i/>
        </w:rPr>
        <w:t>za zwłokę w wykonaniu przedmiotu umowy – w wysokości 0,01% wynagrodzenia ryczałtowego netto wskazanego w § 14 ust. 1 umowy za każdy dzień opóźnienia w stosunku do terminu ustalonego w § 13 pkt 1 umowy,</w:t>
      </w:r>
      <w:r>
        <w:rPr>
          <w:rFonts w:asciiTheme="minorHAnsi" w:hAnsiTheme="minorHAnsi" w:cstheme="minorHAnsi"/>
          <w:i/>
        </w:rPr>
        <w:t>”</w:t>
      </w:r>
      <w:r>
        <w:rPr>
          <w:rFonts w:asciiTheme="minorHAnsi" w:hAnsiTheme="minorHAnsi" w:cstheme="minorHAnsi"/>
        </w:rPr>
        <w:t>?</w:t>
      </w:r>
    </w:p>
    <w:p w:rsidR="00622947" w:rsidRDefault="00622947" w:rsidP="00F3671E">
      <w:pPr>
        <w:rPr>
          <w:rFonts w:asciiTheme="minorHAnsi" w:hAnsiTheme="minorHAnsi"/>
        </w:rPr>
      </w:pPr>
      <w:r>
        <w:rPr>
          <w:rFonts w:asciiTheme="minorHAnsi" w:hAnsiTheme="minorHAnsi"/>
        </w:rPr>
        <w:t>W umowie określono jeden wspólny termin odbioru całości świadczeń Wykonawcy.</w:t>
      </w:r>
    </w:p>
    <w:p w:rsidR="00622947" w:rsidRDefault="00622947" w:rsidP="00F3671E">
      <w:pPr>
        <w:rPr>
          <w:rFonts w:asciiTheme="minorHAnsi" w:hAnsi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§17 ust. 2 pkt. 2) i 3)</w:t>
      </w:r>
    </w:p>
    <w:p w:rsidR="00622947" w:rsidRDefault="00622947" w:rsidP="00F3671E">
      <w:pPr>
        <w:rPr>
          <w:rFonts w:asciiTheme="minorHAnsi" w:hAnsiTheme="minorHAnsi"/>
        </w:rPr>
      </w:pPr>
      <w:r>
        <w:rPr>
          <w:rFonts w:asciiTheme="minorHAnsi" w:hAnsiTheme="minorHAnsi"/>
        </w:rPr>
        <w:lastRenderedPageBreak/>
        <w:t>Wnosimy o wykreślenie w/w zapisów z projektu umowy. W umowie określono jeden wspólny termin odbioru całości świadczeń Wykonawcy.</w:t>
      </w:r>
    </w:p>
    <w:p w:rsidR="00622947" w:rsidRDefault="00622947" w:rsidP="00F3671E">
      <w:pPr>
        <w:rPr>
          <w:rFonts w:asciiTheme="minorHAnsi" w:hAnsiTheme="minorHAnsi" w:cstheme="minorHAnsi"/>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§17 ust. 2 pkt. 6)</w:t>
      </w:r>
    </w:p>
    <w:p w:rsidR="00622947" w:rsidRDefault="00622947" w:rsidP="00F3671E">
      <w:pPr>
        <w:rPr>
          <w:rFonts w:asciiTheme="minorHAnsi" w:hAnsiTheme="minorHAnsi" w:cstheme="minorHAnsi"/>
        </w:rPr>
      </w:pPr>
      <w:r>
        <w:rPr>
          <w:rFonts w:asciiTheme="minorHAnsi" w:hAnsiTheme="minorHAnsi" w:cstheme="minorHAnsi"/>
        </w:rPr>
        <w:t xml:space="preserve">Czy Zamawiający wyrazi zgodę na modyfikację w/w zapisu na: </w:t>
      </w:r>
      <w:r>
        <w:rPr>
          <w:rFonts w:asciiTheme="minorHAnsi" w:hAnsiTheme="minorHAnsi" w:cstheme="minorHAnsi"/>
          <w:i/>
        </w:rPr>
        <w:t>„</w:t>
      </w:r>
      <w:r>
        <w:rPr>
          <w:rFonts w:asciiTheme="minorHAnsi" w:hAnsiTheme="minorHAnsi"/>
          <w:i/>
        </w:rPr>
        <w:t>za odstąpienie przez Zamawiającego od umowy z przyczyn leżących po stronie Wykonawcy – w wysokości 5 % wynagrodzenia ryczałtowego netto ustalonego w § 14 ust. 1 umowy.</w:t>
      </w:r>
      <w:r>
        <w:rPr>
          <w:rFonts w:asciiTheme="minorHAnsi" w:hAnsiTheme="minorHAnsi" w:cstheme="minorHAnsi"/>
          <w:i/>
        </w:rPr>
        <w:t>”</w:t>
      </w:r>
      <w:r>
        <w:rPr>
          <w:rFonts w:asciiTheme="minorHAnsi" w:hAnsiTheme="minorHAnsi" w:cstheme="minorHAnsi"/>
        </w:rPr>
        <w:t>?</w:t>
      </w:r>
    </w:p>
    <w:p w:rsidR="00622947" w:rsidRDefault="00622947" w:rsidP="00F3671E">
      <w:pPr>
        <w:rPr>
          <w:rFonts w:asciiTheme="minorHAnsi" w:hAnsiTheme="minorHAnsi" w:cs="Arial"/>
        </w:rPr>
      </w:pPr>
      <w:r>
        <w:rPr>
          <w:rFonts w:asciiTheme="minorHAnsi" w:hAnsiTheme="minorHAnsi" w:cs="Arial"/>
        </w:rPr>
        <w:t>Wykonawca ma prawo, zgodnie z przepisami Kodeksu cywilnego, odstąpić od umowy jedynie  z przyczyn wskazanych w umowie lub przepisach Kodeksu cywilnego. A skoro jest to jego ustawowe prawo, to nie można go karać za skorzystanie z niego.</w:t>
      </w:r>
    </w:p>
    <w:p w:rsidR="00622947" w:rsidRDefault="00622947" w:rsidP="00F3671E">
      <w:pPr>
        <w:rPr>
          <w:rFonts w:asciiTheme="minorHAnsi" w:hAnsiTheme="minorHAnsi" w:cs="Arial"/>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§17 ust. 6</w:t>
      </w:r>
    </w:p>
    <w:p w:rsidR="00622947" w:rsidRDefault="00622947" w:rsidP="00F3671E">
      <w:pPr>
        <w:rPr>
          <w:rFonts w:asciiTheme="minorHAnsi" w:hAnsiTheme="minorHAnsi" w:cstheme="minorHAnsi"/>
        </w:rPr>
      </w:pPr>
      <w:r>
        <w:rPr>
          <w:rFonts w:asciiTheme="minorHAnsi" w:hAnsiTheme="minorHAnsi" w:cstheme="minorHAnsi"/>
        </w:rPr>
        <w:t xml:space="preserve">Wnosimy o wykreślenie w/w zapisu z projektu umowy. </w:t>
      </w:r>
    </w:p>
    <w:p w:rsidR="00622947" w:rsidRDefault="00622947" w:rsidP="00F3671E">
      <w:pPr>
        <w:pStyle w:val="Tekstkomentarza"/>
        <w:rPr>
          <w:rFonts w:asciiTheme="minorHAnsi" w:hAnsiTheme="minorHAnsi" w:cs="Arial"/>
          <w:lang w:val="pl-PL"/>
        </w:rPr>
      </w:pPr>
      <w:r>
        <w:rPr>
          <w:rFonts w:asciiTheme="minorHAnsi" w:hAnsiTheme="minorHAnsi" w:cs="Arial"/>
          <w:lang w:val="pl-PL"/>
        </w:rPr>
        <w:t xml:space="preserve">Pragniemy zauważyć, że Zamawiający nie może jednocześnie korzystać z uprawnienia do naliczenia  kary umownej za zwłokę i kary umownej z tytułu odstąpienia od umowy, którego przyczyną była zwłoka Wykonawcy. Kara umowna z tytułu zwłoki w wykonaniu umowy przysługuje, jeśli Wykonawca, z przyczyn przez siebie zawinionych, nie wykonuje umowy w terminie umownym, ale ostatecznie ją wykonuje (był w zwłoce, czyli wykonał z opóźnieniem, za które ponosi odpowiedzialność, ale ostatecznie umowę wykonał). Tymczasem kara umowna z tytułu odstąpienia, którego przyczyną była zwłoka Wykonawcy w wykonaniu umowy oznacza, że Wykonawca ostatecznie nie wykonał umowy, bo zanim to zrobił Zamawiający odstąpił od umowy. </w:t>
      </w:r>
    </w:p>
    <w:p w:rsidR="00622947" w:rsidRDefault="00622947" w:rsidP="00F3671E">
      <w:pPr>
        <w:pStyle w:val="Tekstkomentarza"/>
        <w:rPr>
          <w:rFonts w:asciiTheme="minorHAnsi" w:hAnsiTheme="minorHAnsi" w:cs="Arial"/>
          <w:lang w:val="pl-PL"/>
        </w:rPr>
      </w:pPr>
      <w:r>
        <w:rPr>
          <w:rFonts w:asciiTheme="minorHAnsi" w:hAnsiTheme="minorHAnsi" w:cs="Arial"/>
          <w:lang w:val="pl-PL"/>
        </w:rPr>
        <w:t>Stąd prośba o zmianę /wykreślenie przedmiotowego postanowienia.</w:t>
      </w:r>
    </w:p>
    <w:p w:rsidR="00622947" w:rsidRDefault="00622947" w:rsidP="00F3671E">
      <w:pPr>
        <w:pStyle w:val="Tekstkomentarza"/>
        <w:rPr>
          <w:rFonts w:asciiTheme="minorHAnsi" w:hAnsiTheme="minorHAnsi" w:cs="Arial"/>
          <w:lang w:val="pl-PL"/>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§19 ust. 3 pkt. 1)</w:t>
      </w:r>
    </w:p>
    <w:p w:rsidR="00622947" w:rsidRDefault="00622947" w:rsidP="00F3671E">
      <w:pPr>
        <w:pStyle w:val="Default"/>
        <w:rPr>
          <w:rFonts w:asciiTheme="minorHAnsi" w:hAnsiTheme="minorHAnsi" w:cstheme="minorHAnsi"/>
          <w:sz w:val="20"/>
          <w:szCs w:val="20"/>
        </w:rPr>
      </w:pPr>
      <w:r>
        <w:rPr>
          <w:rFonts w:asciiTheme="minorHAnsi" w:hAnsiTheme="minorHAnsi" w:cstheme="minorHAnsi"/>
          <w:sz w:val="20"/>
          <w:szCs w:val="20"/>
        </w:rPr>
        <w:t xml:space="preserve">Czy Zamawiający wyrazi zgodę na modyfikację w/w zapisu na: </w:t>
      </w:r>
      <w:r>
        <w:rPr>
          <w:rFonts w:asciiTheme="minorHAnsi" w:hAnsiTheme="minorHAnsi" w:cstheme="minorHAnsi"/>
          <w:i/>
          <w:sz w:val="20"/>
          <w:szCs w:val="20"/>
        </w:rPr>
        <w:t>„</w:t>
      </w:r>
      <w:r>
        <w:rPr>
          <w:rFonts w:asciiTheme="minorHAnsi" w:hAnsiTheme="minorHAnsi"/>
          <w:i/>
          <w:color w:val="auto"/>
          <w:sz w:val="20"/>
          <w:szCs w:val="20"/>
        </w:rPr>
        <w:t xml:space="preserve">Wykonawca realizuje umowę w tempie nie gwarantującym dotrzymanie terminu umownego wykonania Przedmiotu umowy, w szczególności pozostaje w zwłoce przez okres dłuższy niż 2 tygodnie w stosunku do terminu wskazanego w § 13 ust. 1  umowy, </w:t>
      </w:r>
      <w:r>
        <w:rPr>
          <w:rFonts w:asciiTheme="minorHAnsi" w:hAnsiTheme="minorHAnsi" w:cs="Arial"/>
          <w:i/>
          <w:sz w:val="20"/>
          <w:szCs w:val="20"/>
        </w:rPr>
        <w:t>pod warunkiem uprzedniego wezwania Wykonawcy do należytego wykonania umowy, w formie pisemnej pod rygorem nieważności, w wyznaczonym dodatkowym i odpowiednim terminie, po bezskutecznym upływie tego terminu.</w:t>
      </w:r>
      <w:r>
        <w:rPr>
          <w:rFonts w:asciiTheme="minorHAnsi" w:hAnsiTheme="minorHAnsi" w:cstheme="minorHAnsi"/>
          <w:i/>
          <w:sz w:val="20"/>
          <w:szCs w:val="20"/>
        </w:rPr>
        <w:t>”</w:t>
      </w:r>
      <w:r>
        <w:rPr>
          <w:rFonts w:asciiTheme="minorHAnsi" w:hAnsiTheme="minorHAnsi" w:cstheme="minorHAnsi"/>
          <w:sz w:val="20"/>
          <w:szCs w:val="20"/>
        </w:rPr>
        <w:t>?</w:t>
      </w:r>
    </w:p>
    <w:p w:rsidR="00622947" w:rsidRDefault="00622947" w:rsidP="00F3671E">
      <w:pPr>
        <w:rPr>
          <w:rFonts w:asciiTheme="minorHAnsi" w:hAnsiTheme="minorHAnsi"/>
          <w:sz w:val="20"/>
          <w:szCs w:val="20"/>
        </w:rPr>
      </w:pPr>
      <w:r>
        <w:rPr>
          <w:rFonts w:asciiTheme="minorHAnsi" w:hAnsiTheme="minorHAnsi"/>
        </w:rPr>
        <w:t xml:space="preserve">Tego rodzaju wcześniejsze wezwanie – w formie pisemnej i z wyznaczeniem odpowiedniego terminu - Wykonawcy do należytego wykonania umowy, zanim dojdzie do odstąpienia od umowy - </w:t>
      </w:r>
      <w:r>
        <w:rPr>
          <w:rFonts w:asciiTheme="minorHAnsi" w:hAnsiTheme="minorHAnsi" w:cs="Arial"/>
        </w:rPr>
        <w:t>które jest „najdrastyczniejszą” (nadzwyczajną) formą rozwiązania problemów występujących w trakcie wykonywania umowy</w:t>
      </w:r>
      <w:r>
        <w:rPr>
          <w:rFonts w:asciiTheme="minorHAnsi" w:hAnsiTheme="minorHAnsi"/>
        </w:rPr>
        <w:t xml:space="preserve"> - jest wskazaną, powszechną i należytą praktyką występującą tak na rynku umów prywatnych, jak i umów publicznych.</w:t>
      </w:r>
    </w:p>
    <w:p w:rsidR="00622947" w:rsidRDefault="00622947" w:rsidP="00F3671E">
      <w:pPr>
        <w:rPr>
          <w:rFonts w:ascii="Arial" w:hAnsi="Arial"/>
        </w:rPr>
      </w:pPr>
    </w:p>
    <w:p w:rsidR="00622947" w:rsidRPr="00F3671E" w:rsidRDefault="00622947" w:rsidP="00F3671E">
      <w:pPr>
        <w:pStyle w:val="Akapitzlist"/>
        <w:numPr>
          <w:ilvl w:val="0"/>
          <w:numId w:val="17"/>
        </w:numPr>
        <w:rPr>
          <w:rFonts w:cstheme="minorHAnsi"/>
          <w:b/>
        </w:rPr>
      </w:pPr>
      <w:r w:rsidRPr="00F3671E">
        <w:rPr>
          <w:rFonts w:cstheme="minorHAnsi"/>
          <w:b/>
        </w:rPr>
        <w:t>Dotyczy załącznika nr 9 do SIWZ, §19 ust. 3 pkt. 2)</w:t>
      </w:r>
    </w:p>
    <w:p w:rsidR="00622947" w:rsidRDefault="00622947" w:rsidP="00F3671E">
      <w:pPr>
        <w:pStyle w:val="Default"/>
        <w:rPr>
          <w:rFonts w:asciiTheme="minorHAnsi" w:hAnsiTheme="minorHAnsi" w:cstheme="minorHAnsi"/>
          <w:sz w:val="20"/>
          <w:szCs w:val="20"/>
        </w:rPr>
      </w:pPr>
      <w:r>
        <w:rPr>
          <w:rFonts w:asciiTheme="minorHAnsi" w:hAnsiTheme="minorHAnsi" w:cstheme="minorHAnsi"/>
          <w:sz w:val="20"/>
          <w:szCs w:val="20"/>
        </w:rPr>
        <w:t xml:space="preserve">Czy Zamawiający wyrazi zgodę na modyfikację w/w zapisu na: </w:t>
      </w:r>
      <w:r>
        <w:rPr>
          <w:rFonts w:asciiTheme="minorHAnsi" w:hAnsiTheme="minorHAnsi" w:cstheme="minorHAnsi"/>
          <w:i/>
          <w:sz w:val="20"/>
          <w:szCs w:val="20"/>
        </w:rPr>
        <w:t>„</w:t>
      </w:r>
      <w:r>
        <w:rPr>
          <w:rFonts w:asciiTheme="minorHAnsi" w:hAnsiTheme="minorHAnsi"/>
          <w:i/>
          <w:color w:val="auto"/>
          <w:sz w:val="20"/>
          <w:szCs w:val="20"/>
        </w:rPr>
        <w:t xml:space="preserve">Wykonawca narusza istotnie postanowienia niniejszej umowy lub nie wykonuje istotnych zobowiązań z niej wynikających, a także realizuje umowę z naruszeniem obowiązujących przepisów prawa, </w:t>
      </w:r>
      <w:r>
        <w:rPr>
          <w:rFonts w:asciiTheme="minorHAnsi" w:hAnsiTheme="minorHAnsi" w:cs="Arial"/>
          <w:i/>
          <w:sz w:val="20"/>
          <w:szCs w:val="20"/>
        </w:rPr>
        <w:t>pod warunkiem uprzedniego wezwania Wykonawcy do należytego wykonania umowy, w formie pisemnej pod rygorem nieważności, w wyznaczonym dodatkowym i odpowiednim terminie, po bezskutecznym upływie tego terminu</w:t>
      </w:r>
      <w:r>
        <w:rPr>
          <w:rFonts w:asciiTheme="minorHAnsi" w:hAnsiTheme="minorHAnsi"/>
          <w:i/>
          <w:sz w:val="20"/>
          <w:szCs w:val="20"/>
        </w:rPr>
        <w:t>.</w:t>
      </w:r>
      <w:r>
        <w:rPr>
          <w:rFonts w:asciiTheme="minorHAnsi" w:hAnsiTheme="minorHAnsi" w:cstheme="minorHAnsi"/>
          <w:i/>
          <w:sz w:val="20"/>
          <w:szCs w:val="20"/>
        </w:rPr>
        <w:t>”</w:t>
      </w:r>
      <w:r>
        <w:rPr>
          <w:rFonts w:asciiTheme="minorHAnsi" w:hAnsiTheme="minorHAnsi" w:cstheme="minorHAnsi"/>
          <w:sz w:val="20"/>
          <w:szCs w:val="20"/>
        </w:rPr>
        <w:t>?</w:t>
      </w:r>
    </w:p>
    <w:p w:rsidR="00622947" w:rsidRDefault="00622947" w:rsidP="00F3671E">
      <w:pPr>
        <w:pStyle w:val="Tekstkomentarza"/>
        <w:rPr>
          <w:rFonts w:asciiTheme="minorHAnsi" w:hAnsiTheme="minorHAnsi" w:cs="Arial"/>
          <w:lang w:val="pl-PL"/>
        </w:rPr>
      </w:pPr>
      <w:r>
        <w:rPr>
          <w:rFonts w:asciiTheme="minorHAnsi" w:hAnsiTheme="minorHAnsi" w:cs="Arial"/>
          <w:lang w:val="pl-PL"/>
        </w:rPr>
        <w:t xml:space="preserve">Odstąpienie od umowy jest najdrastyczniejszą (nadzwyczajną) formą rozwiązania problemów występujących w trakcie wykonywania umowy, z tego też względu nie powinno mieć miejsca, jeśli Wykonawca, nawet z powodów przez siebie zawinionych, nie wykonuje umowy w sposób w pełni należyty, jeśli takie uchybienia byłyby stosunkowo niewielkie. </w:t>
      </w:r>
    </w:p>
    <w:p w:rsidR="00622947" w:rsidRDefault="00622947" w:rsidP="00F3671E">
      <w:pPr>
        <w:pStyle w:val="Tekstkomentarza"/>
        <w:rPr>
          <w:rFonts w:asciiTheme="minorHAnsi" w:hAnsiTheme="minorHAnsi"/>
          <w:lang w:val="pl-PL"/>
        </w:rPr>
      </w:pPr>
    </w:p>
    <w:p w:rsidR="00622947" w:rsidRPr="00F3671E" w:rsidRDefault="00622947" w:rsidP="00F3671E">
      <w:pPr>
        <w:pStyle w:val="Akapitzlist"/>
        <w:numPr>
          <w:ilvl w:val="0"/>
          <w:numId w:val="17"/>
        </w:numPr>
        <w:rPr>
          <w:rFonts w:cstheme="minorHAnsi"/>
          <w:b/>
        </w:rPr>
      </w:pPr>
      <w:r w:rsidRPr="00F3671E">
        <w:rPr>
          <w:rFonts w:cstheme="minorHAnsi"/>
          <w:b/>
        </w:rPr>
        <w:t>Dotyczy umowy powierzenia przetwarzania danych osobowych, §3, ust. 1-3</w:t>
      </w:r>
    </w:p>
    <w:p w:rsidR="00622947" w:rsidRDefault="00622947" w:rsidP="00F3671E">
      <w:pPr>
        <w:jc w:val="both"/>
        <w:rPr>
          <w:rFonts w:asciiTheme="minorHAnsi" w:hAnsiTheme="minorHAnsi" w:cstheme="minorHAnsi"/>
        </w:rPr>
      </w:pPr>
      <w:r>
        <w:rPr>
          <w:rFonts w:asciiTheme="minorHAnsi" w:hAnsiTheme="minorHAnsi" w:cstheme="minorHAnsi"/>
        </w:rPr>
        <w:t xml:space="preserve">Czy Zamawiający wyrazi zgodę na modyfikację w/w zapisów na: </w:t>
      </w:r>
    </w:p>
    <w:p w:rsidR="00622947" w:rsidRDefault="00622947" w:rsidP="00F3671E">
      <w:pPr>
        <w:rPr>
          <w:rFonts w:asciiTheme="minorHAnsi" w:hAnsiTheme="minorHAnsi" w:cs="Arial"/>
          <w:i/>
        </w:rPr>
      </w:pPr>
      <w:r>
        <w:rPr>
          <w:rFonts w:asciiTheme="minorHAnsi" w:hAnsiTheme="minorHAnsi" w:cstheme="minorHAnsi"/>
          <w:i/>
        </w:rPr>
        <w:t xml:space="preserve">„1. </w:t>
      </w:r>
      <w:r>
        <w:rPr>
          <w:rFonts w:asciiTheme="minorHAnsi" w:hAnsiTheme="minorHAnsi" w:cs="Arial"/>
          <w:i/>
        </w:rPr>
        <w:t xml:space="preserve">Podmiot przetwarzający zleca </w:t>
      </w:r>
      <w:proofErr w:type="spellStart"/>
      <w:r>
        <w:rPr>
          <w:rFonts w:asciiTheme="minorHAnsi" w:hAnsiTheme="minorHAnsi" w:cs="Arial"/>
          <w:i/>
        </w:rPr>
        <w:t>podprzetwarzającym</w:t>
      </w:r>
      <w:proofErr w:type="spellEnd"/>
      <w:r>
        <w:rPr>
          <w:rFonts w:asciiTheme="minorHAnsi" w:hAnsiTheme="minorHAnsi" w:cs="Arial"/>
          <w:i/>
        </w:rPr>
        <w:t xml:space="preserve"> („podwykonawca przetwarzający dane”) realizację określonych czynności w zakresie przetwarzania danych w imieniu Administratora. </w:t>
      </w:r>
      <w:proofErr w:type="spellStart"/>
      <w:r>
        <w:rPr>
          <w:rFonts w:asciiTheme="minorHAnsi" w:hAnsiTheme="minorHAnsi" w:cs="Arial"/>
          <w:i/>
        </w:rPr>
        <w:t>Podprzetwarzający</w:t>
      </w:r>
      <w:proofErr w:type="spellEnd"/>
      <w:r>
        <w:rPr>
          <w:rFonts w:asciiTheme="minorHAnsi" w:hAnsiTheme="minorHAnsi" w:cs="Arial"/>
          <w:i/>
        </w:rPr>
        <w:t xml:space="preserve"> mogą przetwarzać dane osobowe wyłącznie w celu realizacji czynności, w odniesieniu do których dane osobowe zostały przekazane Podmiotowi przetwarzającemu, i nie mogą przetwarzać </w:t>
      </w:r>
      <w:r>
        <w:rPr>
          <w:rFonts w:asciiTheme="minorHAnsi" w:hAnsiTheme="minorHAnsi" w:cs="Arial"/>
          <w:i/>
        </w:rPr>
        <w:lastRenderedPageBreak/>
        <w:t xml:space="preserve">danych osobowych w żadnych innych celach. W przypadku zlecenia czynności </w:t>
      </w:r>
      <w:proofErr w:type="spellStart"/>
      <w:r>
        <w:rPr>
          <w:rFonts w:asciiTheme="minorHAnsi" w:hAnsiTheme="minorHAnsi" w:cs="Arial"/>
          <w:i/>
        </w:rPr>
        <w:t>podprzetwarzającym</w:t>
      </w:r>
      <w:proofErr w:type="spellEnd"/>
      <w:r>
        <w:rPr>
          <w:rFonts w:asciiTheme="minorHAnsi" w:hAnsiTheme="minorHAnsi" w:cs="Arial"/>
          <w:i/>
        </w:rPr>
        <w:t xml:space="preserve"> przez Podmiot przetwarzający, </w:t>
      </w:r>
      <w:proofErr w:type="spellStart"/>
      <w:r>
        <w:rPr>
          <w:rFonts w:asciiTheme="minorHAnsi" w:hAnsiTheme="minorHAnsi" w:cs="Arial"/>
          <w:i/>
        </w:rPr>
        <w:t>podprzetwarzający</w:t>
      </w:r>
      <w:proofErr w:type="spellEnd"/>
      <w:r>
        <w:rPr>
          <w:rFonts w:asciiTheme="minorHAnsi" w:hAnsiTheme="minorHAnsi" w:cs="Arial"/>
          <w:i/>
        </w:rPr>
        <w:t xml:space="preserve"> będą podlegać pisemnym zobowiązaniom w zakresie ochrony danych, zapewniających co najmniej taki sam poziom ochrony, jaki określono w niniejszej umowie.  </w:t>
      </w:r>
    </w:p>
    <w:p w:rsidR="00622947" w:rsidRPr="00F3671E" w:rsidRDefault="00622947" w:rsidP="00F3671E">
      <w:pPr>
        <w:rPr>
          <w:rFonts w:cs="Arial"/>
          <w:i/>
        </w:rPr>
      </w:pPr>
      <w:r w:rsidRPr="00F3671E">
        <w:rPr>
          <w:rFonts w:cs="Arial"/>
          <w:i/>
        </w:rPr>
        <w:t xml:space="preserve">Wykaz </w:t>
      </w:r>
      <w:proofErr w:type="spellStart"/>
      <w:r w:rsidRPr="00F3671E">
        <w:rPr>
          <w:rFonts w:cs="Arial"/>
          <w:i/>
        </w:rPr>
        <w:t>podprzetwarzających</w:t>
      </w:r>
      <w:proofErr w:type="spellEnd"/>
      <w:r w:rsidRPr="00F3671E">
        <w:rPr>
          <w:rFonts w:cs="Arial"/>
          <w:i/>
        </w:rPr>
        <w:t xml:space="preserve">, którym Podmiot przetwarzający obecnie zleca czynności, jest dostępna pod adresem ………………. </w:t>
      </w:r>
    </w:p>
    <w:p w:rsidR="00622947" w:rsidRDefault="00622947" w:rsidP="00F3671E">
      <w:pPr>
        <w:rPr>
          <w:rFonts w:asciiTheme="minorHAnsi" w:hAnsiTheme="minorHAnsi" w:cs="Arial"/>
          <w:i/>
        </w:rPr>
      </w:pPr>
      <w:r>
        <w:rPr>
          <w:rFonts w:asciiTheme="minorHAnsi" w:hAnsiTheme="minorHAnsi" w:cs="Arial"/>
          <w:i/>
        </w:rPr>
        <w:t xml:space="preserve">Administrator niniejszym upoważnia Podmiot przetwarzający do zlecania czynności podmiotom ujętym w wykazie jako </w:t>
      </w:r>
      <w:proofErr w:type="spellStart"/>
      <w:r>
        <w:rPr>
          <w:rFonts w:asciiTheme="minorHAnsi" w:hAnsiTheme="minorHAnsi" w:cs="Arial"/>
          <w:i/>
        </w:rPr>
        <w:t>podprzetwarzającym</w:t>
      </w:r>
      <w:proofErr w:type="spellEnd"/>
      <w:r>
        <w:rPr>
          <w:rFonts w:asciiTheme="minorHAnsi" w:hAnsiTheme="minorHAnsi" w:cs="Arial"/>
          <w:i/>
        </w:rPr>
        <w:t xml:space="preserve">. Administrator zobowiązuje się do subskrypcji wskazanej powyżej strony internetowej Podmiotu przetwarzającego w celu uzyskiwania informacji dotyczących </w:t>
      </w:r>
      <w:proofErr w:type="spellStart"/>
      <w:r>
        <w:rPr>
          <w:rFonts w:asciiTheme="minorHAnsi" w:hAnsiTheme="minorHAnsi" w:cs="Arial"/>
          <w:i/>
        </w:rPr>
        <w:t>podprzetwarzających</w:t>
      </w:r>
      <w:proofErr w:type="spellEnd"/>
      <w:r>
        <w:rPr>
          <w:rFonts w:asciiTheme="minorHAnsi" w:hAnsiTheme="minorHAnsi" w:cs="Arial"/>
          <w:i/>
        </w:rPr>
        <w:t xml:space="preserve"> oraz wszelkich </w:t>
      </w:r>
      <w:proofErr w:type="spellStart"/>
      <w:r>
        <w:rPr>
          <w:rFonts w:asciiTheme="minorHAnsi" w:hAnsiTheme="minorHAnsi" w:cs="Arial"/>
          <w:i/>
        </w:rPr>
        <w:t>zamierzanych</w:t>
      </w:r>
      <w:proofErr w:type="spellEnd"/>
      <w:r>
        <w:rPr>
          <w:rFonts w:asciiTheme="minorHAnsi" w:hAnsiTheme="minorHAnsi" w:cs="Arial"/>
          <w:i/>
        </w:rPr>
        <w:t xml:space="preserve"> zmian w korzystaniu z usług </w:t>
      </w:r>
      <w:proofErr w:type="spellStart"/>
      <w:r>
        <w:rPr>
          <w:rFonts w:asciiTheme="minorHAnsi" w:hAnsiTheme="minorHAnsi" w:cs="Arial"/>
          <w:i/>
        </w:rPr>
        <w:t>podprzetwarzających</w:t>
      </w:r>
      <w:proofErr w:type="spellEnd"/>
      <w:r>
        <w:rPr>
          <w:rFonts w:asciiTheme="minorHAnsi" w:hAnsiTheme="minorHAnsi" w:cs="Arial"/>
          <w:i/>
        </w:rPr>
        <w:t xml:space="preserve"> lub ich zastępowania innymi podmiotami.</w:t>
      </w:r>
    </w:p>
    <w:p w:rsidR="00622947" w:rsidRPr="00F3671E" w:rsidRDefault="00622947" w:rsidP="00F3671E">
      <w:pPr>
        <w:rPr>
          <w:rFonts w:cs="Arial"/>
          <w:i/>
        </w:rPr>
      </w:pPr>
      <w:r w:rsidRPr="00F3671E">
        <w:rPr>
          <w:rFonts w:cs="Arial"/>
          <w:i/>
        </w:rPr>
        <w:t xml:space="preserve">Zlecenie czynności lub zastąpienie </w:t>
      </w:r>
      <w:proofErr w:type="spellStart"/>
      <w:r w:rsidRPr="00F3671E">
        <w:rPr>
          <w:rFonts w:cs="Arial"/>
          <w:i/>
        </w:rPr>
        <w:t>podprzetwarzającego</w:t>
      </w:r>
      <w:proofErr w:type="spellEnd"/>
      <w:r w:rsidRPr="00F3671E">
        <w:rPr>
          <w:rFonts w:cs="Arial"/>
          <w:i/>
        </w:rPr>
        <w:t xml:space="preserve"> dodatkowym podmiotem uznaje się za zatwierdzone, jeżeli Podmiot przetwarzający poinformuje Administratora o takim fakcie z wyprzedzeniem, a </w:t>
      </w:r>
      <w:proofErr w:type="spellStart"/>
      <w:r w:rsidRPr="00F3671E">
        <w:rPr>
          <w:rFonts w:cs="Arial"/>
          <w:i/>
        </w:rPr>
        <w:t>Adminustrator</w:t>
      </w:r>
      <w:proofErr w:type="spellEnd"/>
      <w:r w:rsidRPr="00F3671E">
        <w:rPr>
          <w:rFonts w:cs="Arial"/>
          <w:i/>
        </w:rPr>
        <w:t xml:space="preserve"> nie zgłosi zastrzeżeń do Wykonawcy w formie pisemnej, w tym w formie elektronicznej, w terminie 3 miesięcy od otrzymania takich informacji. </w:t>
      </w:r>
    </w:p>
    <w:p w:rsidR="00622947" w:rsidRPr="00F3671E" w:rsidRDefault="00622947" w:rsidP="00F3671E">
      <w:pPr>
        <w:rPr>
          <w:rFonts w:cs="Arial"/>
          <w:i/>
        </w:rPr>
      </w:pPr>
      <w:r w:rsidRPr="00F3671E">
        <w:rPr>
          <w:rFonts w:cs="Arial"/>
          <w:i/>
        </w:rPr>
        <w:t xml:space="preserve">W przypadku zgłoszenia zastrzeżeń przez </w:t>
      </w:r>
      <w:proofErr w:type="spellStart"/>
      <w:r w:rsidRPr="00F3671E">
        <w:rPr>
          <w:rFonts w:cs="Arial"/>
          <w:i/>
        </w:rPr>
        <w:t>Adminstratora</w:t>
      </w:r>
      <w:proofErr w:type="spellEnd"/>
      <w:r w:rsidRPr="00F3671E">
        <w:rPr>
          <w:rFonts w:cs="Arial"/>
          <w:i/>
        </w:rPr>
        <w:t xml:space="preserve"> , </w:t>
      </w:r>
      <w:proofErr w:type="spellStart"/>
      <w:r w:rsidRPr="00F3671E">
        <w:rPr>
          <w:rFonts w:cs="Arial"/>
          <w:i/>
        </w:rPr>
        <w:t>Adminstrator</w:t>
      </w:r>
      <w:proofErr w:type="spellEnd"/>
      <w:r w:rsidRPr="00F3671E">
        <w:rPr>
          <w:rFonts w:cs="Arial"/>
          <w:i/>
        </w:rPr>
        <w:t xml:space="preserve"> przedstawi Podmiotowi przetwarzającemu szczegółowe informacje o przyczynach zastrzeżeń. </w:t>
      </w:r>
    </w:p>
    <w:p w:rsidR="00622947" w:rsidRDefault="00622947" w:rsidP="00F3671E">
      <w:pPr>
        <w:rPr>
          <w:rFonts w:asciiTheme="minorHAnsi" w:hAnsiTheme="minorHAnsi" w:cs="Arial"/>
          <w:i/>
        </w:rPr>
      </w:pPr>
      <w:r>
        <w:rPr>
          <w:rFonts w:asciiTheme="minorHAnsi" w:hAnsiTheme="minorHAnsi" w:cs="Arial"/>
          <w:i/>
        </w:rPr>
        <w:t>Po zgłoszeniu zastrzeżeń Podmiot przetwarzający może według własnego uznania</w:t>
      </w:r>
    </w:p>
    <w:p w:rsidR="00622947" w:rsidRPr="00F3671E" w:rsidRDefault="00622947" w:rsidP="00F3671E">
      <w:pPr>
        <w:ind w:left="1080"/>
        <w:rPr>
          <w:rFonts w:cs="Arial"/>
          <w:i/>
        </w:rPr>
      </w:pPr>
      <w:r w:rsidRPr="00F3671E">
        <w:rPr>
          <w:rFonts w:cs="Arial"/>
          <w:i/>
        </w:rPr>
        <w:t xml:space="preserve">zaproponować innego </w:t>
      </w:r>
      <w:proofErr w:type="spellStart"/>
      <w:r w:rsidRPr="00F3671E">
        <w:rPr>
          <w:rFonts w:cs="Arial"/>
          <w:i/>
        </w:rPr>
        <w:t>podprzetwarzającego</w:t>
      </w:r>
      <w:proofErr w:type="spellEnd"/>
      <w:r w:rsidRPr="00F3671E">
        <w:rPr>
          <w:rFonts w:cs="Arial"/>
          <w:i/>
        </w:rPr>
        <w:t xml:space="preserve"> w miejsce odrzuconego </w:t>
      </w:r>
      <w:proofErr w:type="spellStart"/>
      <w:r w:rsidRPr="00F3671E">
        <w:rPr>
          <w:rFonts w:cs="Arial"/>
          <w:i/>
        </w:rPr>
        <w:t>podprzetwarzającego</w:t>
      </w:r>
      <w:proofErr w:type="spellEnd"/>
      <w:r w:rsidRPr="00F3671E">
        <w:rPr>
          <w:rFonts w:cs="Arial"/>
          <w:i/>
        </w:rPr>
        <w:t>; lub</w:t>
      </w:r>
    </w:p>
    <w:p w:rsidR="00622947" w:rsidRPr="00F3671E" w:rsidRDefault="00622947" w:rsidP="00F3671E">
      <w:pPr>
        <w:ind w:left="1080"/>
        <w:rPr>
          <w:rFonts w:cs="Arial"/>
          <w:i/>
        </w:rPr>
      </w:pPr>
      <w:r w:rsidRPr="00F3671E">
        <w:rPr>
          <w:rFonts w:cs="Arial"/>
          <w:i/>
        </w:rPr>
        <w:t>podjąć działania w celu rozwiązania problemów zgłoszonych przez Zamawiającego , które wyeliminują jego zastrzeżenia .</w:t>
      </w:r>
    </w:p>
    <w:p w:rsidR="00622947" w:rsidRPr="00F3671E" w:rsidRDefault="00622947" w:rsidP="00F3671E">
      <w:pPr>
        <w:ind w:left="1080"/>
        <w:rPr>
          <w:rFonts w:cs="Arial"/>
          <w:i/>
        </w:rPr>
      </w:pPr>
      <w:r w:rsidRPr="00F3671E">
        <w:rPr>
          <w:rFonts w:cs="Arial"/>
          <w:i/>
        </w:rPr>
        <w:t xml:space="preserve">W przypadku zlecenia przez Podmiot przetwarzający czynności </w:t>
      </w:r>
      <w:proofErr w:type="spellStart"/>
      <w:r w:rsidRPr="00F3671E">
        <w:rPr>
          <w:rFonts w:cs="Arial"/>
          <w:i/>
        </w:rPr>
        <w:t>podprzetwarzającemu</w:t>
      </w:r>
      <w:proofErr w:type="spellEnd"/>
      <w:r w:rsidRPr="00F3671E">
        <w:rPr>
          <w:rFonts w:cs="Arial"/>
          <w:i/>
        </w:rPr>
        <w:t xml:space="preserve"> z państwa trzeciego (spoza UE/EOG), Wykonawca stosuje mechanizmy przesyłania danych zgodne z art. 44 i nast. RODO. W szczególności, Podmiot przetwarzający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rsidR="00622947" w:rsidRPr="00F3671E" w:rsidRDefault="00622947" w:rsidP="00F3671E">
      <w:pPr>
        <w:rPr>
          <w:rFonts w:cstheme="minorHAnsi"/>
        </w:rPr>
      </w:pPr>
      <w:r w:rsidRPr="00F3671E">
        <w:rPr>
          <w:rFonts w:cs="Arial"/>
          <w:i/>
        </w:rPr>
        <w:t xml:space="preserve">W przypadku, gdy Podmiot przetwarzający zapewnia wystarczające zabezpieczenia np. na mocy standardowych klauzul umownych zgodnie z decyzją Komisji Europejskiej Nr 2010/87/UE lub standardowych klauzul ochrony danych zgodnie z art. 46 („standardowe klauzule ochrony danych”), </w:t>
      </w:r>
      <w:proofErr w:type="spellStart"/>
      <w:r w:rsidRPr="00F3671E">
        <w:rPr>
          <w:rFonts w:cs="Arial"/>
          <w:i/>
        </w:rPr>
        <w:t>Adminstrator</w:t>
      </w:r>
      <w:proofErr w:type="spellEnd"/>
      <w:r w:rsidRPr="00F3671E">
        <w:rPr>
          <w:rFonts w:cs="Arial"/>
          <w:i/>
        </w:rPr>
        <w:t xml:space="preserve"> niniejszym udziela Podmiotowi przetwarzającemu pełnomocnictwa do zawarcia takich standardowych klauzul ochrony danych w imieniu i na rzecz Administratora. Ponadto, Administrator udziela Podmiotowi przetwarzającemu wyraźnej zgody na reprezentowanie odpowiedniego </w:t>
      </w:r>
      <w:proofErr w:type="spellStart"/>
      <w:r w:rsidRPr="00F3671E">
        <w:rPr>
          <w:rFonts w:cs="Arial"/>
          <w:i/>
        </w:rPr>
        <w:t>podprzetwarzającego</w:t>
      </w:r>
      <w:proofErr w:type="spellEnd"/>
      <w:r w:rsidRPr="00F3671E">
        <w:rPr>
          <w:rFonts w:cs="Arial"/>
          <w:i/>
        </w:rPr>
        <w:t xml:space="preserve"> przy zawieraniu takich standardowych klauzul ochrony danych. Oznacza to, że Podmiot przetwarzający jest uprawniony do działania w imieniu Administratora oraz </w:t>
      </w:r>
      <w:proofErr w:type="spellStart"/>
      <w:r w:rsidRPr="00F3671E">
        <w:rPr>
          <w:rFonts w:cs="Arial"/>
          <w:i/>
        </w:rPr>
        <w:t>podprzetwarzającego</w:t>
      </w:r>
      <w:proofErr w:type="spellEnd"/>
      <w:r w:rsidRPr="00F3671E">
        <w:rPr>
          <w:rFonts w:cs="Arial"/>
          <w:i/>
        </w:rPr>
        <w:t xml:space="preserve">. Podmiot przetwarzający jest również uprawniony do wykonywania praw i uprawnień przysługujących Administratorowi z tytułu standardowych klauzul ochrony danych wobec </w:t>
      </w:r>
      <w:proofErr w:type="spellStart"/>
      <w:r w:rsidRPr="00F3671E">
        <w:rPr>
          <w:rFonts w:cs="Arial"/>
          <w:i/>
        </w:rPr>
        <w:t>podprzetwarzającego</w:t>
      </w:r>
      <w:proofErr w:type="spellEnd"/>
      <w:r w:rsidRPr="00F3671E">
        <w:rPr>
          <w:rFonts w:cs="Arial"/>
          <w:i/>
        </w:rPr>
        <w:t>.</w:t>
      </w:r>
      <w:r w:rsidRPr="00F3671E">
        <w:rPr>
          <w:rFonts w:cstheme="minorHAnsi"/>
          <w:i/>
        </w:rPr>
        <w:t>”</w:t>
      </w:r>
      <w:r w:rsidRPr="00F3671E">
        <w:rPr>
          <w:rFonts w:cstheme="minorHAnsi"/>
        </w:rPr>
        <w:t>?</w:t>
      </w:r>
    </w:p>
    <w:p w:rsidR="00622947" w:rsidRDefault="00622947" w:rsidP="00F3671E">
      <w:pPr>
        <w:rPr>
          <w:rFonts w:asciiTheme="minorHAnsi" w:hAnsiTheme="minorHAnsi" w:cs="Arial"/>
          <w:bCs/>
          <w:iCs/>
          <w:color w:val="000000"/>
        </w:rPr>
      </w:pPr>
      <w:r>
        <w:rPr>
          <w:rFonts w:asciiTheme="minorHAnsi" w:hAnsiTheme="minorHAnsi" w:cs="Arial"/>
          <w:bCs/>
          <w:iCs/>
          <w:color w:val="000000"/>
        </w:rPr>
        <w:t>Mając na uwadze, że usługi serwisowe świadczone przez wykonawców globalnych (globalnych grup kapitałowych) mają także globalną strukturę zakładającą udział w serwisie spółek z grupy kapitałowej, w szczególności spółki producenta oferowanego urządzenia, co pozwala na zaoferowanie modelu serwisu „</w:t>
      </w:r>
      <w:proofErr w:type="spellStart"/>
      <w:r>
        <w:rPr>
          <w:rFonts w:asciiTheme="minorHAnsi" w:hAnsiTheme="minorHAnsi" w:cs="Arial"/>
          <w:bCs/>
          <w:iCs/>
          <w:color w:val="000000"/>
        </w:rPr>
        <w:t>follow</w:t>
      </w:r>
      <w:proofErr w:type="spellEnd"/>
      <w:r>
        <w:rPr>
          <w:rFonts w:asciiTheme="minorHAnsi" w:hAnsiTheme="minorHAnsi" w:cs="Arial"/>
          <w:bCs/>
          <w:iCs/>
          <w:color w:val="000000"/>
        </w:rPr>
        <w:t xml:space="preserve"> the Sun” i najwyższych </w:t>
      </w:r>
      <w:proofErr w:type="spellStart"/>
      <w:r>
        <w:rPr>
          <w:rFonts w:asciiTheme="minorHAnsi" w:hAnsiTheme="minorHAnsi" w:cs="Arial"/>
          <w:bCs/>
          <w:iCs/>
          <w:color w:val="000000"/>
        </w:rPr>
        <w:t>standarów</w:t>
      </w:r>
      <w:proofErr w:type="spellEnd"/>
      <w:r>
        <w:rPr>
          <w:rFonts w:asciiTheme="minorHAnsi" w:hAnsiTheme="minorHAnsi" w:cs="Arial"/>
          <w:bCs/>
          <w:iCs/>
          <w:color w:val="000000"/>
        </w:rPr>
        <w:t xml:space="preserve"> jakości oraz krótkich czasów naprawy i reakcji, uprzejmie prosimy o zastąpienie </w:t>
      </w:r>
      <w:proofErr w:type="spellStart"/>
      <w:r>
        <w:rPr>
          <w:rFonts w:asciiTheme="minorHAnsi" w:hAnsiTheme="minorHAnsi" w:cs="Arial"/>
          <w:bCs/>
          <w:iCs/>
          <w:color w:val="000000"/>
        </w:rPr>
        <w:t>przemiotowego</w:t>
      </w:r>
      <w:proofErr w:type="spellEnd"/>
      <w:r>
        <w:rPr>
          <w:rFonts w:asciiTheme="minorHAnsi" w:hAnsiTheme="minorHAnsi" w:cs="Arial"/>
          <w:bCs/>
          <w:iCs/>
          <w:color w:val="000000"/>
        </w:rPr>
        <w:t xml:space="preserve"> postanowienia  następującymi zapisami, które oddają faktyczny model oczekiwanych przez Państwa usług serwisowych.</w:t>
      </w:r>
    </w:p>
    <w:p w:rsidR="00622947" w:rsidRDefault="00622947" w:rsidP="00F3671E">
      <w:pPr>
        <w:rPr>
          <w:rFonts w:asciiTheme="minorHAnsi" w:hAnsiTheme="minorHAnsi" w:cstheme="minorHAnsi"/>
        </w:rPr>
      </w:pPr>
    </w:p>
    <w:p w:rsidR="00622947" w:rsidRPr="00DD21AB" w:rsidRDefault="00622947" w:rsidP="00DD21AB">
      <w:pPr>
        <w:pStyle w:val="Akapitzlist"/>
        <w:numPr>
          <w:ilvl w:val="0"/>
          <w:numId w:val="17"/>
        </w:numPr>
        <w:rPr>
          <w:rFonts w:cstheme="minorHAnsi"/>
          <w:b/>
        </w:rPr>
      </w:pPr>
      <w:r w:rsidRPr="00DD21AB">
        <w:rPr>
          <w:rFonts w:cstheme="minorHAnsi"/>
          <w:b/>
        </w:rPr>
        <w:t>Dotyczy umowy powierzenia przetwarzania danych osobowych, §5, ust. 1, pkt. 2) i 3)</w:t>
      </w:r>
    </w:p>
    <w:p w:rsidR="00622947" w:rsidRDefault="00622947" w:rsidP="00F3671E">
      <w:pPr>
        <w:rPr>
          <w:rFonts w:asciiTheme="minorHAnsi" w:hAnsiTheme="minorHAnsi" w:cstheme="minorHAnsi"/>
        </w:rPr>
      </w:pPr>
      <w:r>
        <w:rPr>
          <w:rFonts w:asciiTheme="minorHAnsi" w:hAnsiTheme="minorHAnsi" w:cstheme="minorHAnsi"/>
        </w:rPr>
        <w:t>Czy Zamawiający wyrazi zgodę na usunięcie w/w zapisów jako konsekwencję zmian wprowadzonych w §3 umowy.</w:t>
      </w:r>
    </w:p>
    <w:p w:rsidR="00622947" w:rsidRDefault="00622947" w:rsidP="00F3671E">
      <w:pPr>
        <w:rPr>
          <w:rFonts w:asciiTheme="minorHAnsi" w:hAnsiTheme="minorHAnsi" w:cstheme="minorHAnsi"/>
        </w:rPr>
      </w:pPr>
    </w:p>
    <w:p w:rsidR="00622947" w:rsidRPr="00DD21AB" w:rsidRDefault="00622947" w:rsidP="00DD21AB">
      <w:pPr>
        <w:pStyle w:val="Akapitzlist"/>
        <w:numPr>
          <w:ilvl w:val="0"/>
          <w:numId w:val="17"/>
        </w:numPr>
        <w:rPr>
          <w:rFonts w:cstheme="minorHAnsi"/>
          <w:b/>
        </w:rPr>
      </w:pPr>
      <w:r w:rsidRPr="00DD21AB">
        <w:rPr>
          <w:rFonts w:cstheme="minorHAnsi"/>
          <w:b/>
        </w:rPr>
        <w:t>Dotyczy załącznika nr 10. Wzory protokołów odbioru</w:t>
      </w:r>
    </w:p>
    <w:p w:rsidR="00622947" w:rsidRDefault="00622947" w:rsidP="00F3671E">
      <w:pPr>
        <w:rPr>
          <w:rFonts w:asciiTheme="minorHAnsi" w:hAnsiTheme="minorHAnsi" w:cstheme="minorHAnsi"/>
        </w:rPr>
      </w:pPr>
      <w:r>
        <w:rPr>
          <w:rFonts w:asciiTheme="minorHAnsi" w:hAnsiTheme="minorHAnsi" w:cstheme="minorHAnsi"/>
        </w:rPr>
        <w:t>Czy Zamawiający wyrazi zgodę na dodanie do wzoru protokołów odbioru miejsca na wpisanie uwag?</w:t>
      </w:r>
    </w:p>
    <w:p w:rsidR="00622947" w:rsidRDefault="00622947" w:rsidP="00F3671E">
      <w:pPr>
        <w:rPr>
          <w:rFonts w:asciiTheme="minorHAnsi" w:hAnsiTheme="minorHAnsi" w:cstheme="minorHAnsi"/>
        </w:rPr>
      </w:pPr>
    </w:p>
    <w:p w:rsidR="00622947" w:rsidRPr="00DD21AB" w:rsidRDefault="00622947" w:rsidP="00DD21AB">
      <w:pPr>
        <w:pStyle w:val="Akapitzlist"/>
        <w:numPr>
          <w:ilvl w:val="0"/>
          <w:numId w:val="17"/>
        </w:numPr>
        <w:rPr>
          <w:rFonts w:cs="Arial"/>
        </w:rPr>
      </w:pPr>
      <w:r w:rsidRPr="00DD21AB">
        <w:rPr>
          <w:rFonts w:cs="Arial"/>
        </w:rPr>
        <w:t>Czy Zamawiający zgodzi się na fakturowanie w 2 etapach ( dotyczy obu pakietów), tj. 1-a faktura po dostawie aparatów, 2-a  po ich montażu, uruchomieniu, i przeprowadzeniu szkoleń?</w:t>
      </w:r>
    </w:p>
    <w:p w:rsidR="00622947" w:rsidRDefault="00622947" w:rsidP="00F3671E">
      <w:pPr>
        <w:rPr>
          <w:rFonts w:asciiTheme="minorHAnsi" w:hAnsiTheme="minorHAnsi" w:cs="Arial"/>
        </w:rPr>
      </w:pPr>
    </w:p>
    <w:p w:rsidR="00622947" w:rsidRDefault="00622947" w:rsidP="00DD21AB">
      <w:pPr>
        <w:pStyle w:val="Akapitzlist"/>
        <w:numPr>
          <w:ilvl w:val="0"/>
          <w:numId w:val="17"/>
        </w:numPr>
      </w:pPr>
      <w:r>
        <w:t>Prosimy o udostępnienie planu pomieszczeń przewidzianych do projektu osłon radiologicznych z uwidocznieniem:</w:t>
      </w:r>
      <w:r>
        <w:br/>
        <w:t xml:space="preserve"> - grubości ścian</w:t>
      </w:r>
      <w:r>
        <w:br/>
        <w:t>- technologii wykonania ścian i tynków</w:t>
      </w:r>
      <w:r>
        <w:br/>
        <w:t>- osłon radiologicznych.</w:t>
      </w:r>
    </w:p>
    <w:p w:rsidR="00622947" w:rsidRDefault="00622947" w:rsidP="00F3671E">
      <w:pPr>
        <w:pStyle w:val="Akapitzlist"/>
        <w:spacing w:after="0" w:line="240" w:lineRule="auto"/>
        <w:ind w:left="0"/>
      </w:pPr>
    </w:p>
    <w:p w:rsidR="00622947" w:rsidRDefault="00622947" w:rsidP="00DD21AB">
      <w:pPr>
        <w:pStyle w:val="Akapitzlist"/>
        <w:numPr>
          <w:ilvl w:val="0"/>
          <w:numId w:val="17"/>
        </w:numPr>
      </w:pPr>
      <w:r>
        <w:t>Prosimy o podanie izotopów jakie będą stosowane w Zakładzie Medycyny Nuklearnej, jaka będzie ich forma chemiczna, jaka będzie maksymalna aktywność stosowana jednocześnie?</w:t>
      </w:r>
    </w:p>
    <w:p w:rsidR="00622947" w:rsidRDefault="00622947" w:rsidP="00DD21AB">
      <w:pPr>
        <w:pStyle w:val="Akapitzlist"/>
        <w:numPr>
          <w:ilvl w:val="0"/>
          <w:numId w:val="17"/>
        </w:numPr>
      </w:pPr>
      <w:r>
        <w:t>Jakie maksymalne aktywności będą podawane pacjentom?</w:t>
      </w:r>
    </w:p>
    <w:p w:rsidR="00622947" w:rsidRDefault="00622947" w:rsidP="00F3671E">
      <w:pPr>
        <w:pStyle w:val="Akapitzlist"/>
        <w:spacing w:after="0" w:line="240" w:lineRule="auto"/>
      </w:pPr>
    </w:p>
    <w:p w:rsidR="00622947" w:rsidRDefault="00622947" w:rsidP="00DD21AB">
      <w:pPr>
        <w:pStyle w:val="Akapitzlist"/>
        <w:numPr>
          <w:ilvl w:val="0"/>
          <w:numId w:val="17"/>
        </w:numPr>
      </w:pPr>
      <w:r>
        <w:t>Jakie procedury radiologiczne będą wykonywane w pracowni PET-CT?</w:t>
      </w:r>
    </w:p>
    <w:p w:rsidR="00622947" w:rsidRDefault="00622947" w:rsidP="00F3671E">
      <w:pPr>
        <w:pStyle w:val="Akapitzlist"/>
      </w:pPr>
    </w:p>
    <w:p w:rsidR="00622947" w:rsidRDefault="00622947" w:rsidP="00DD21AB">
      <w:pPr>
        <w:pStyle w:val="Akapitzlist"/>
        <w:numPr>
          <w:ilvl w:val="0"/>
          <w:numId w:val="17"/>
        </w:numPr>
      </w:pPr>
      <w:r>
        <w:t>Do jakiej kategorii narażenia będą zakwalifikowani pracownicy pracujący w Zakładzie Medycyny Nuklearnej?</w:t>
      </w:r>
    </w:p>
    <w:p w:rsidR="00622947" w:rsidRDefault="00622947" w:rsidP="00F3671E">
      <w:pPr>
        <w:pStyle w:val="Akapitzlist"/>
      </w:pPr>
    </w:p>
    <w:p w:rsidR="00622947" w:rsidRDefault="00622947" w:rsidP="00DD21AB">
      <w:pPr>
        <w:pStyle w:val="Akapitzlist"/>
        <w:numPr>
          <w:ilvl w:val="0"/>
          <w:numId w:val="17"/>
        </w:numPr>
      </w:pPr>
      <w:r>
        <w:t>Czy przewiduje się stosowanie zamkniętych źródeł promieniotwórczych poza wymaganymi przez producenta do kalibracji urządzeń? Jeżeli tak to jakie to będą izotopy oraz o jakiej aktywności?</w:t>
      </w:r>
    </w:p>
    <w:p w:rsidR="00622947" w:rsidRDefault="00622947" w:rsidP="00F3671E">
      <w:pPr>
        <w:pStyle w:val="Akapitzlist"/>
      </w:pPr>
    </w:p>
    <w:p w:rsidR="00622947" w:rsidRDefault="00622947" w:rsidP="00DD21AB">
      <w:pPr>
        <w:pStyle w:val="Akapitzlist"/>
        <w:numPr>
          <w:ilvl w:val="0"/>
          <w:numId w:val="17"/>
        </w:numPr>
      </w:pPr>
      <w:r>
        <w:t xml:space="preserve">Prosimy o opisanie drogi dostawy </w:t>
      </w:r>
      <w:proofErr w:type="spellStart"/>
      <w:r>
        <w:t>radiofarmaceutyka</w:t>
      </w:r>
      <w:proofErr w:type="spellEnd"/>
      <w:r>
        <w:t xml:space="preserve"> do pracowni izotopowej w obrębie budynku.</w:t>
      </w:r>
    </w:p>
    <w:p w:rsidR="00622947" w:rsidRDefault="00622947" w:rsidP="00F3671E">
      <w:pPr>
        <w:pStyle w:val="Akapitzlist"/>
      </w:pPr>
    </w:p>
    <w:p w:rsidR="00622947" w:rsidRDefault="00622947" w:rsidP="00DD21AB">
      <w:pPr>
        <w:pStyle w:val="Akapitzlist"/>
        <w:numPr>
          <w:ilvl w:val="0"/>
          <w:numId w:val="17"/>
        </w:numPr>
      </w:pPr>
      <w:r>
        <w:t>Prosimy o podanie docelowej wysokości pomieszczeń wchodzących w skład Zakładu Medycyny Nuklearnej.</w:t>
      </w:r>
    </w:p>
    <w:p w:rsidR="00622947" w:rsidRDefault="00622947" w:rsidP="00F3671E">
      <w:pPr>
        <w:pStyle w:val="Akapitzlist"/>
      </w:pPr>
    </w:p>
    <w:p w:rsidR="00622947" w:rsidRDefault="00622947" w:rsidP="00DD21AB">
      <w:pPr>
        <w:pStyle w:val="Akapitzlist"/>
        <w:numPr>
          <w:ilvl w:val="0"/>
          <w:numId w:val="17"/>
        </w:numPr>
      </w:pPr>
      <w:r>
        <w:t>Prosimy o podanie informacji odnośnie czasu przebywania pacjenta:</w:t>
      </w:r>
      <w:r>
        <w:br/>
        <w:t xml:space="preserve">- przed podaniem </w:t>
      </w:r>
      <w:proofErr w:type="spellStart"/>
      <w:r>
        <w:t>radiofarmaceutyka</w:t>
      </w:r>
      <w:proofErr w:type="spellEnd"/>
      <w:r>
        <w:br/>
        <w:t xml:space="preserve">- po podaniu </w:t>
      </w:r>
      <w:proofErr w:type="spellStart"/>
      <w:r>
        <w:t>radiofarmaceutyka</w:t>
      </w:r>
      <w:proofErr w:type="spellEnd"/>
    </w:p>
    <w:p w:rsidR="00622947" w:rsidRDefault="00622947" w:rsidP="00F3671E">
      <w:pPr>
        <w:pStyle w:val="Akapitzlist"/>
      </w:pPr>
    </w:p>
    <w:p w:rsidR="00622947" w:rsidRDefault="00622947" w:rsidP="00DD21AB">
      <w:pPr>
        <w:pStyle w:val="Akapitzlist"/>
        <w:numPr>
          <w:ilvl w:val="0"/>
          <w:numId w:val="17"/>
        </w:numPr>
      </w:pPr>
      <w:r>
        <w:t xml:space="preserve">Prosimy o podanie dla pracowni PET-CT: </w:t>
      </w:r>
      <w:r>
        <w:br/>
        <w:t xml:space="preserve"> - liczby pacjentów poddanych badaniu w tygodniu, </w:t>
      </w:r>
      <w:r>
        <w:br/>
        <w:t xml:space="preserve"> - tygodniowy czas pracy pracownika oraz ilość zmian, </w:t>
      </w:r>
      <w:r>
        <w:br/>
        <w:t xml:space="preserve"> - max liczba pacjentów poddanych badaniu w ciągu 1 dnia, </w:t>
      </w:r>
      <w:r>
        <w:br/>
        <w:t xml:space="preserve"> - tygodniowe średnie obciążenie aparatu na pacjenta (</w:t>
      </w:r>
      <w:proofErr w:type="spellStart"/>
      <w:r>
        <w:t>mAs</w:t>
      </w:r>
      <w:proofErr w:type="spellEnd"/>
      <w:r>
        <w:t xml:space="preserve">). </w:t>
      </w:r>
    </w:p>
    <w:p w:rsidR="00622947" w:rsidRDefault="00622947" w:rsidP="00F3671E">
      <w:pPr>
        <w:pStyle w:val="Akapitzlist"/>
      </w:pPr>
    </w:p>
    <w:p w:rsidR="00622947" w:rsidRDefault="00622947" w:rsidP="00DD21AB">
      <w:pPr>
        <w:pStyle w:val="Akapitzlist"/>
        <w:numPr>
          <w:ilvl w:val="0"/>
          <w:numId w:val="17"/>
        </w:numPr>
      </w:pPr>
      <w:r>
        <w:t>Czy zaprojektowana pracownia izotopowa w Zakładzie Medycyny Nuklearnej będzie pracownią klasy II?</w:t>
      </w:r>
    </w:p>
    <w:p w:rsidR="00622947" w:rsidRDefault="00622947" w:rsidP="00F3671E">
      <w:pPr>
        <w:pStyle w:val="Akapitzlist"/>
      </w:pPr>
    </w:p>
    <w:p w:rsidR="00622947" w:rsidRDefault="00622947" w:rsidP="00DD21AB">
      <w:pPr>
        <w:pStyle w:val="Akapitzlist"/>
        <w:numPr>
          <w:ilvl w:val="0"/>
          <w:numId w:val="17"/>
        </w:numPr>
      </w:pPr>
      <w:r>
        <w:t>Zamawiający w SIWZ pkt. II.2  Opisując Wymagania ogólne dla przedmiotu zamówienia w pkt. 2 podpunkt 2 lit. b) pisze:</w:t>
      </w:r>
      <w:r>
        <w:br/>
        <w:t>„wykonać i dostarczyć Zamawiającemu w terminie do 2 tygodni od daty zawarcia umowy wykonawczą dokumentację techniczną w zakresie wykończenia i przygotowania pracowni do montażu przedmiotu zamówienia;”.</w:t>
      </w:r>
      <w:r>
        <w:br/>
      </w:r>
      <w:r>
        <w:lastRenderedPageBreak/>
        <w:t xml:space="preserve">Czy Zamawiający pisząc dokumentację techniczną ma na myśli dokumentację w zakresie: projekt wykonawczy, kosztorys inwestorski oraz specyfikacja techniczna? </w:t>
      </w:r>
    </w:p>
    <w:p w:rsidR="00622947" w:rsidRDefault="00622947" w:rsidP="00F3671E">
      <w:pPr>
        <w:pStyle w:val="Akapitzlist"/>
      </w:pPr>
    </w:p>
    <w:p w:rsidR="00622947" w:rsidRDefault="00622947" w:rsidP="00DD21AB">
      <w:pPr>
        <w:pStyle w:val="Akapitzlist"/>
        <w:numPr>
          <w:ilvl w:val="0"/>
          <w:numId w:val="17"/>
        </w:numPr>
      </w:pPr>
      <w:r>
        <w:t>Prosimy o wydłużenie terminu na przygotowanie dokumentacji technicznej do czterech tygodni od daty zawarcia Umowy.</w:t>
      </w:r>
    </w:p>
    <w:p w:rsidR="00622947" w:rsidRDefault="00622947" w:rsidP="00F3671E">
      <w:pPr>
        <w:pStyle w:val="Akapitzlist"/>
      </w:pPr>
    </w:p>
    <w:p w:rsidR="00622947" w:rsidRDefault="00622947" w:rsidP="00DD21AB">
      <w:pPr>
        <w:pStyle w:val="Akapitzlist"/>
        <w:numPr>
          <w:ilvl w:val="0"/>
          <w:numId w:val="17"/>
        </w:numPr>
      </w:pPr>
      <w:r>
        <w:t>Czy Zamawiający oczekuje od Wykonawcy umeblowania pomieszczeń objętych zakresem postępowania? Jeżeli tak to w jakim zakresie?</w:t>
      </w:r>
    </w:p>
    <w:p w:rsidR="00622947" w:rsidRDefault="00622947" w:rsidP="00F3671E">
      <w:pPr>
        <w:pStyle w:val="Akapitzlist"/>
      </w:pPr>
    </w:p>
    <w:p w:rsidR="00622947" w:rsidRDefault="00622947" w:rsidP="00DD21AB">
      <w:pPr>
        <w:pStyle w:val="Akapitzlist"/>
        <w:numPr>
          <w:ilvl w:val="0"/>
          <w:numId w:val="17"/>
        </w:numPr>
      </w:pPr>
      <w:r>
        <w:t>Prosimy o wskazanie strony, która będzie odpowiedzialna za wykonanie prac w zakresie wykończenia i przygotowania pracowni, na podstawie przygotowanej przez Wykonawcę dokumentacji technicznej. Jeżeli prace te będą po stronie Wykonawcy to prosimy o:</w:t>
      </w:r>
      <w:r>
        <w:br/>
        <w:t>- podanie terminu w jakim Zamawiający udostępni Wykonawcy pomieszczenia celem wykonania adaptacji (terminy udostępnienia pomieszczeń Wykonawcy przedstawione we wzorze umowy (załącznik nr 9 do SIWZ) par. 13 nie przewidują udostępnienia celem wykonania prac adaptacyjnych)</w:t>
      </w:r>
      <w:r>
        <w:br/>
        <w:t>- podanie obciążalności gniazd elektrycznych 230V dla każdego z pomieszczeń opisanych w załączniku nr 4 do SIWZ</w:t>
      </w:r>
      <w:r>
        <w:br/>
        <w:t>- podanie parametrów wody lodowej (w zakresie: przedział temperatur, uzysk ciepła, szybkość przepływu, zakres ciśnień na przyłączu do urządzeń) dla każdego z pomieszczeń opisanych w załączniku nr 4 do SIWZ</w:t>
      </w:r>
      <w:r>
        <w:br/>
        <w:t>- potwierdzenie po czyjej stronie jest wykonanie tablicy PDB dla każdego z pomieszczeń opisanych w załączniku nr 4 do SIWZ</w:t>
      </w:r>
      <w:r>
        <w:br/>
        <w:t>- potwierdzenie po czyjej stronie jest montaż umywalek dla każdego z pomieszczeń opisanych w załączniku nr 4 do SIWZ.</w:t>
      </w:r>
    </w:p>
    <w:p w:rsidR="00622947" w:rsidRDefault="00622947" w:rsidP="00F3671E">
      <w:pPr>
        <w:pStyle w:val="Akapitzlist"/>
      </w:pPr>
    </w:p>
    <w:p w:rsidR="00622947" w:rsidRDefault="00622947" w:rsidP="00DD21AB">
      <w:pPr>
        <w:pStyle w:val="Akapitzlist"/>
        <w:numPr>
          <w:ilvl w:val="0"/>
          <w:numId w:val="17"/>
        </w:numPr>
      </w:pPr>
      <w:r>
        <w:t xml:space="preserve">Zamawiający w SIWZ nakłada na Wykonawcę obowiązek udostępnienia pomieszczeń wskazanej przez Zamawiającego osobie trzeciej (odrębnemu podwykonawcy) w celu przeprowadzenia robót budowlanych, w szczególności prac instalatorskich i wykończeniowych. Prosimy o potwierdzenie, że „osoba trzecia” będzie miała za zadanie wykonywać prace zgodnie z przedstawioną przez Wykonawcę dokumentacją techniczną. </w:t>
      </w:r>
    </w:p>
    <w:p w:rsidR="00622947" w:rsidRDefault="00622947" w:rsidP="00F3671E">
      <w:pPr>
        <w:pStyle w:val="Akapitzlist"/>
      </w:pPr>
    </w:p>
    <w:p w:rsidR="00622947" w:rsidRDefault="00622947" w:rsidP="00DD21AB">
      <w:pPr>
        <w:pStyle w:val="Akapitzlist"/>
        <w:numPr>
          <w:ilvl w:val="0"/>
          <w:numId w:val="17"/>
        </w:numPr>
      </w:pPr>
      <w:r>
        <w:t>Prosimy o potwierdzenie, że prace budowlane i adaptacyjne przypisane Wykonawcy przez Zamawiającego w dokumentacji przetargowej m. in. w:</w:t>
      </w:r>
      <w:r>
        <w:br/>
        <w:t>- Załącznik nr 3 do SIWZ</w:t>
      </w:r>
      <w:r>
        <w:br/>
        <w:t>- SIWZ pkt. II.2  Opisując Wymagania ogólne dla przedmiotu zamówienia w pkt. 2 podpunkt 2 lit. f)</w:t>
      </w:r>
      <w:r>
        <w:br/>
        <w:t xml:space="preserve">Będą wykonywane przez „osobę trzecią”, jeżeli Wykonawca ich zakres uwzględni w przekazanej Zamawiającemu dokumentacji </w:t>
      </w:r>
      <w:proofErr w:type="spellStart"/>
      <w:r>
        <w:t>dokumentacji</w:t>
      </w:r>
      <w:proofErr w:type="spellEnd"/>
      <w:r>
        <w:t xml:space="preserve"> technicznej.</w:t>
      </w:r>
    </w:p>
    <w:p w:rsidR="00622947" w:rsidRDefault="00622947" w:rsidP="00F3671E">
      <w:pPr>
        <w:pStyle w:val="Akapitzlist"/>
      </w:pPr>
    </w:p>
    <w:p w:rsidR="00622947" w:rsidRDefault="00622947" w:rsidP="00DD21AB">
      <w:pPr>
        <w:pStyle w:val="Akapitzlist"/>
        <w:numPr>
          <w:ilvl w:val="0"/>
          <w:numId w:val="17"/>
        </w:numPr>
      </w:pPr>
      <w:r>
        <w:t xml:space="preserve">Uzyskanie decyzji od Wojewódzkiej Stacji </w:t>
      </w:r>
      <w:proofErr w:type="spellStart"/>
      <w:r>
        <w:t>Sanitarno</w:t>
      </w:r>
      <w:proofErr w:type="spellEnd"/>
      <w:r>
        <w:t xml:space="preserve"> Epidemiologicznej oraz Państwowej Agencji Atomistyki wymaga m. in. dokumentów w których jest wskazany Inspektor Ochrony Radiologicznej z ramienia </w:t>
      </w:r>
      <w:proofErr w:type="spellStart"/>
      <w:r>
        <w:t>Zamawiajacego</w:t>
      </w:r>
      <w:proofErr w:type="spellEnd"/>
      <w:r>
        <w:t xml:space="preserve"> oraz dokumentów które musi podpisać Inspektor Ochrony Radiologicznej. Prosimy o potwierdzenie, że Zamawiający dysponuje lub na dzień zawarcia Umowy z Wykonawcą będzie dysponować Inspektorem Ochrony Radiologicznej dla pracowni objętych zakresem postępowania.</w:t>
      </w:r>
    </w:p>
    <w:p w:rsidR="00622947" w:rsidRDefault="00622947" w:rsidP="00F3671E">
      <w:pPr>
        <w:pStyle w:val="Akapitzlist"/>
      </w:pPr>
    </w:p>
    <w:p w:rsidR="00622947" w:rsidRDefault="00622947" w:rsidP="00DD21AB">
      <w:pPr>
        <w:pStyle w:val="Akapitzlist"/>
        <w:numPr>
          <w:ilvl w:val="0"/>
          <w:numId w:val="17"/>
        </w:numPr>
      </w:pPr>
      <w:r>
        <w:t xml:space="preserve">Zamawiający wymaga integracji w zakresie obsługi zleceń. Prosimy o podanie: </w:t>
      </w:r>
      <w:r>
        <w:br/>
        <w:t>-  pełnej nazwy systemu obsługi zleceń</w:t>
      </w:r>
      <w:r>
        <w:br/>
        <w:t>- firmy obsługującej system</w:t>
      </w:r>
      <w:r>
        <w:br/>
        <w:t xml:space="preserve">- </w:t>
      </w:r>
      <w:proofErr w:type="spellStart"/>
      <w:r>
        <w:t>interface’ów</w:t>
      </w:r>
      <w:proofErr w:type="spellEnd"/>
      <w:r>
        <w:t xml:space="preserve"> oraz protokołów poprzez które ma być wykonana integracja</w:t>
      </w:r>
    </w:p>
    <w:p w:rsidR="00622947" w:rsidRDefault="00622947" w:rsidP="00F3671E">
      <w:pPr>
        <w:pStyle w:val="Akapitzlist"/>
      </w:pPr>
    </w:p>
    <w:p w:rsidR="00622947" w:rsidRDefault="00622947" w:rsidP="00DD21AB">
      <w:pPr>
        <w:pStyle w:val="Akapitzlist"/>
        <w:numPr>
          <w:ilvl w:val="0"/>
          <w:numId w:val="17"/>
        </w:numPr>
      </w:pPr>
      <w:r>
        <w:lastRenderedPageBreak/>
        <w:t>Czy Zamawiający wymaga od Wykonawcy wykonania lub zaprojektowania rozbudowy sieci LAN? Jeżeli Zamawiający wymaga od Wykonawcy wykonania rozbudowy sieci LAN to prosimy o przedstawienie zakresu rozbudowy oraz wymaganych standardów dla okablowania oraz dla urządzeń aktywnych.</w:t>
      </w:r>
    </w:p>
    <w:p w:rsidR="00622947" w:rsidRDefault="00622947" w:rsidP="00F3671E">
      <w:pPr>
        <w:pStyle w:val="Akapitzlist"/>
      </w:pPr>
    </w:p>
    <w:p w:rsidR="00622947" w:rsidRDefault="00622947" w:rsidP="00DD21AB">
      <w:pPr>
        <w:pStyle w:val="Akapitzlist"/>
        <w:numPr>
          <w:ilvl w:val="0"/>
          <w:numId w:val="17"/>
        </w:numPr>
      </w:pPr>
      <w:r>
        <w:t>Czy wykonana sieć LAN umożliwia poprawną integrację ze szpitalnymi systemami posiadanymi przez Zamawiającego? Jeżeli nie, prosimy o określenie zakresu rozbudowy sieci LAN celem umożliwienia poprawnej integracji.</w:t>
      </w:r>
    </w:p>
    <w:p w:rsidR="00622947" w:rsidRDefault="00622947" w:rsidP="00F3671E">
      <w:pPr>
        <w:pStyle w:val="Akapitzlist"/>
      </w:pPr>
    </w:p>
    <w:p w:rsidR="00622947" w:rsidRDefault="00622947" w:rsidP="00DD21AB">
      <w:pPr>
        <w:pStyle w:val="Akapitzlist"/>
        <w:numPr>
          <w:ilvl w:val="0"/>
          <w:numId w:val="17"/>
        </w:numPr>
      </w:pPr>
      <w:r>
        <w:t>Prosimy o potwierdzenie, że Zamawiający dysponuje pozwoleniami na użytkowanie pomieszczeń i wymaga od Wykonawcy uzyskania jedynie pozwoleń związanych ze stosowaniem promieniowania jonizującego generowanego przez dostarczane urządzenia lub izotopy wymagane do diagnostyki pacjentów w Zakładzie Medycyny Nuklearnej.</w:t>
      </w:r>
    </w:p>
    <w:p w:rsidR="00622947" w:rsidRDefault="00622947" w:rsidP="00F3671E">
      <w:pPr>
        <w:pStyle w:val="Akapitzlist"/>
      </w:pPr>
    </w:p>
    <w:p w:rsidR="00622947" w:rsidRDefault="00622947" w:rsidP="00DD21AB">
      <w:pPr>
        <w:pStyle w:val="Akapitzlist"/>
        <w:numPr>
          <w:ilvl w:val="0"/>
          <w:numId w:val="17"/>
        </w:numPr>
      </w:pPr>
      <w:r>
        <w:t xml:space="preserve">W związku ze zmianą do SIWZ z dnia 5 czerwca b.r. w zakresie terminu zakończenia realizacji Zamówienia (było „do pięciu miesięcy od daty zawarcia Umowy”, jest „do 15 listopada 2018r.”) prosimy o potwierdzenie, że Zamawiający udostępni pomieszczenia nie później niż do 15 października 2018r. w celu przeprowadzenia montażu i instalacji sprzętu stanowiącego przedmiot Zamówienia. </w:t>
      </w:r>
    </w:p>
    <w:p w:rsidR="00622947" w:rsidRDefault="00622947" w:rsidP="00622947">
      <w:pPr>
        <w:rPr>
          <w:rFonts w:asciiTheme="minorHAnsi" w:hAnsiTheme="minorHAnsi" w:cstheme="minorHAnsi"/>
        </w:rPr>
      </w:pPr>
    </w:p>
    <w:p w:rsidR="00622947" w:rsidRDefault="00622947" w:rsidP="00622947">
      <w:pPr>
        <w:rPr>
          <w:rFonts w:ascii="Arial" w:hAnsi="Arial" w:cs="Arial"/>
          <w:b/>
          <w:u w:val="single"/>
        </w:rPr>
      </w:pPr>
      <w:r>
        <w:rPr>
          <w:rFonts w:ascii="Arial" w:hAnsi="Arial" w:cs="Arial"/>
          <w:b/>
          <w:u w:val="single"/>
        </w:rPr>
        <w:t>Zapytania nr 14</w:t>
      </w:r>
    </w:p>
    <w:p w:rsidR="006E7307" w:rsidRPr="006E7307" w:rsidRDefault="006E7307" w:rsidP="006E7307">
      <w:pPr>
        <w:rPr>
          <w:rFonts w:ascii="Arial" w:hAnsi="Arial" w:cs="Arial"/>
        </w:rPr>
      </w:pPr>
      <w:r w:rsidRPr="006E7307">
        <w:rPr>
          <w:rFonts w:ascii="Arial" w:hAnsi="Arial" w:cs="Arial"/>
        </w:rPr>
        <w:t>Pakiet I  poz. 2 Brachyterapia</w:t>
      </w:r>
    </w:p>
    <w:p w:rsidR="006E7307" w:rsidRPr="006E7307" w:rsidRDefault="006E7307" w:rsidP="006E7307">
      <w:pPr>
        <w:rPr>
          <w:rFonts w:ascii="Arial" w:hAnsi="Arial" w:cs="Arial"/>
        </w:rPr>
      </w:pPr>
      <w:r w:rsidRPr="006E7307">
        <w:rPr>
          <w:rFonts w:ascii="Arial" w:hAnsi="Arial" w:cs="Arial"/>
        </w:rPr>
        <w:t>Aparat do znieczulania z kardiomonitorem</w:t>
      </w:r>
    </w:p>
    <w:p w:rsidR="006E7307" w:rsidRPr="006E7307" w:rsidRDefault="006E7307" w:rsidP="006E7307">
      <w:pPr>
        <w:rPr>
          <w:rFonts w:ascii="Arial" w:hAnsi="Arial" w:cs="Arial"/>
        </w:rPr>
      </w:pPr>
      <w:r w:rsidRPr="006E7307">
        <w:rPr>
          <w:rFonts w:ascii="Arial" w:hAnsi="Arial" w:cs="Arial"/>
        </w:rPr>
        <w:t>Aparat do znieczulania 1 szt.</w:t>
      </w:r>
    </w:p>
    <w:p w:rsidR="006E7307" w:rsidRPr="006E7307" w:rsidRDefault="006E7307" w:rsidP="006E7307">
      <w:pPr>
        <w:rPr>
          <w:rFonts w:ascii="Arial" w:hAnsi="Arial" w:cs="Arial"/>
        </w:rPr>
      </w:pPr>
      <w:r w:rsidRPr="006E7307">
        <w:rPr>
          <w:rFonts w:ascii="Arial" w:hAnsi="Arial" w:cs="Arial"/>
        </w:rPr>
        <w:t>lp.145</w:t>
      </w:r>
    </w:p>
    <w:p w:rsidR="006E7307" w:rsidRPr="006E7307" w:rsidRDefault="006E7307" w:rsidP="006E7307">
      <w:pPr>
        <w:rPr>
          <w:rFonts w:ascii="Arial" w:hAnsi="Arial" w:cs="Arial"/>
        </w:rPr>
      </w:pPr>
      <w:r w:rsidRPr="006E7307">
        <w:rPr>
          <w:rFonts w:ascii="Arial" w:hAnsi="Arial" w:cs="Arial"/>
        </w:rPr>
        <w:t>Czy Zamawiający dopuści aparat z gniazdami wbudowanymi w górnej części aparatu?</w:t>
      </w:r>
    </w:p>
    <w:p w:rsidR="006E7307" w:rsidRPr="006E7307" w:rsidRDefault="006E7307" w:rsidP="006E7307">
      <w:pPr>
        <w:rPr>
          <w:rFonts w:ascii="Arial" w:hAnsi="Arial" w:cs="Arial"/>
        </w:rPr>
      </w:pPr>
      <w:r w:rsidRPr="006E7307">
        <w:rPr>
          <w:rFonts w:ascii="Arial" w:hAnsi="Arial" w:cs="Arial"/>
        </w:rPr>
        <w:t>lp. 149</w:t>
      </w:r>
    </w:p>
    <w:p w:rsidR="006E7307" w:rsidRPr="006E7307" w:rsidRDefault="006E7307" w:rsidP="006E7307">
      <w:pPr>
        <w:rPr>
          <w:rFonts w:ascii="Arial" w:hAnsi="Arial" w:cs="Arial"/>
        </w:rPr>
      </w:pPr>
      <w:r w:rsidRPr="006E7307">
        <w:rPr>
          <w:rFonts w:ascii="Arial" w:hAnsi="Arial" w:cs="Arial"/>
        </w:rPr>
        <w:t>Czy Zamawiający dopuści aparat z reduktorami bez manometrów ponieważ odczyt ciśnienia jest możliwy na ekranie aparatu, co jest zgodne z wymaganiem postawionym w pkt 150?</w:t>
      </w:r>
    </w:p>
    <w:p w:rsidR="006E7307" w:rsidRPr="006E7307" w:rsidRDefault="006E7307" w:rsidP="006E7307">
      <w:pPr>
        <w:rPr>
          <w:rFonts w:ascii="Arial" w:hAnsi="Arial" w:cs="Arial"/>
        </w:rPr>
      </w:pPr>
      <w:r w:rsidRPr="006E7307">
        <w:rPr>
          <w:rFonts w:ascii="Arial" w:hAnsi="Arial" w:cs="Arial"/>
        </w:rPr>
        <w:t>lp.152</w:t>
      </w:r>
    </w:p>
    <w:p w:rsidR="006E7307" w:rsidRPr="006E7307" w:rsidRDefault="006E7307" w:rsidP="006E7307">
      <w:pPr>
        <w:rPr>
          <w:rFonts w:ascii="Arial" w:hAnsi="Arial" w:cs="Arial"/>
        </w:rPr>
      </w:pPr>
      <w:r w:rsidRPr="006E7307">
        <w:rPr>
          <w:rFonts w:ascii="Arial" w:hAnsi="Arial" w:cs="Arial"/>
        </w:rPr>
        <w:t>Czy Zamawiający zrezygnuje z tego wymagania, wentylacja ręczna z użyciem układów półotwartych jest dość rzadko stosowana?</w:t>
      </w:r>
    </w:p>
    <w:p w:rsidR="006E7307" w:rsidRPr="006E7307" w:rsidRDefault="006E7307" w:rsidP="006E7307">
      <w:pPr>
        <w:rPr>
          <w:rFonts w:ascii="Arial" w:hAnsi="Arial" w:cs="Arial"/>
        </w:rPr>
      </w:pPr>
      <w:r w:rsidRPr="006E7307">
        <w:rPr>
          <w:rFonts w:ascii="Arial" w:hAnsi="Arial" w:cs="Arial"/>
        </w:rPr>
        <w:t>lp.153</w:t>
      </w:r>
    </w:p>
    <w:p w:rsidR="006E7307" w:rsidRPr="006E7307" w:rsidRDefault="006E7307" w:rsidP="006E7307">
      <w:pPr>
        <w:rPr>
          <w:rFonts w:ascii="Arial" w:hAnsi="Arial" w:cs="Arial"/>
        </w:rPr>
      </w:pPr>
      <w:r w:rsidRPr="006E7307">
        <w:rPr>
          <w:rFonts w:ascii="Arial" w:hAnsi="Arial" w:cs="Arial"/>
        </w:rPr>
        <w:t>Czy Zamawiający dopuści aparat z fabrycznie zamontowanym ssakiem sterowanym pokrętłami umieszczonymi na urządzeniu ssącym?</w:t>
      </w:r>
    </w:p>
    <w:p w:rsidR="006E7307" w:rsidRPr="006E7307" w:rsidRDefault="006E7307" w:rsidP="006E7307">
      <w:pPr>
        <w:rPr>
          <w:rFonts w:ascii="Arial" w:hAnsi="Arial" w:cs="Arial"/>
        </w:rPr>
      </w:pPr>
      <w:r w:rsidRPr="006E7307">
        <w:rPr>
          <w:rFonts w:ascii="Arial" w:hAnsi="Arial" w:cs="Arial"/>
        </w:rPr>
        <w:t> </w:t>
      </w:r>
    </w:p>
    <w:p w:rsidR="006E7307" w:rsidRPr="006E7307" w:rsidRDefault="006E7307" w:rsidP="006E7307">
      <w:pPr>
        <w:rPr>
          <w:rFonts w:ascii="Arial" w:hAnsi="Arial" w:cs="Arial"/>
        </w:rPr>
      </w:pPr>
      <w:r w:rsidRPr="006E7307">
        <w:rPr>
          <w:rFonts w:ascii="Arial" w:hAnsi="Arial" w:cs="Arial"/>
        </w:rPr>
        <w:t>lp.154</w:t>
      </w:r>
    </w:p>
    <w:p w:rsidR="006E7307" w:rsidRPr="006E7307" w:rsidRDefault="006E7307" w:rsidP="006E7307">
      <w:pPr>
        <w:rPr>
          <w:rFonts w:ascii="Arial" w:hAnsi="Arial" w:cs="Arial"/>
        </w:rPr>
      </w:pPr>
      <w:r w:rsidRPr="006E7307">
        <w:rPr>
          <w:rFonts w:ascii="Arial" w:hAnsi="Arial" w:cs="Arial"/>
        </w:rPr>
        <w:t xml:space="preserve">Czy Zamawiający dopuści aparat z jednym typem szyny </w:t>
      </w:r>
      <w:proofErr w:type="spellStart"/>
      <w:r w:rsidRPr="006E7307">
        <w:rPr>
          <w:rFonts w:ascii="Arial" w:hAnsi="Arial" w:cs="Arial"/>
        </w:rPr>
        <w:t>Selectatec</w:t>
      </w:r>
      <w:proofErr w:type="spellEnd"/>
      <w:r w:rsidRPr="006E7307">
        <w:rPr>
          <w:rFonts w:ascii="Arial" w:hAnsi="Arial" w:cs="Arial"/>
        </w:rPr>
        <w:t xml:space="preserve"> lub </w:t>
      </w:r>
      <w:proofErr w:type="spellStart"/>
      <w:r w:rsidRPr="006E7307">
        <w:rPr>
          <w:rFonts w:ascii="Arial" w:hAnsi="Arial" w:cs="Arial"/>
        </w:rPr>
        <w:t>Dräger</w:t>
      </w:r>
      <w:proofErr w:type="spellEnd"/>
      <w:r w:rsidRPr="006E7307">
        <w:rPr>
          <w:rFonts w:ascii="Arial" w:hAnsi="Arial" w:cs="Arial"/>
        </w:rPr>
        <w:t>?</w:t>
      </w:r>
    </w:p>
    <w:p w:rsidR="006E7307" w:rsidRPr="006E7307" w:rsidRDefault="006E7307" w:rsidP="006E7307">
      <w:pPr>
        <w:rPr>
          <w:rFonts w:ascii="Arial" w:hAnsi="Arial" w:cs="Arial"/>
        </w:rPr>
      </w:pPr>
      <w:r w:rsidRPr="006E7307">
        <w:rPr>
          <w:rFonts w:ascii="Arial" w:hAnsi="Arial" w:cs="Arial"/>
        </w:rPr>
        <w:t>lp.157</w:t>
      </w:r>
    </w:p>
    <w:p w:rsidR="006E7307" w:rsidRPr="006E7307" w:rsidRDefault="006E7307" w:rsidP="006E7307">
      <w:pPr>
        <w:rPr>
          <w:rFonts w:ascii="Arial" w:hAnsi="Arial" w:cs="Arial"/>
        </w:rPr>
      </w:pPr>
      <w:r w:rsidRPr="006E7307">
        <w:rPr>
          <w:rFonts w:ascii="Arial" w:hAnsi="Arial" w:cs="Arial"/>
        </w:rPr>
        <w:t>Czy Zamawiający dopuści aparat z napędem elektrycznym, ekonomicznym, nie zużywającym drogich gazów medycznych do napędu?</w:t>
      </w:r>
    </w:p>
    <w:p w:rsidR="006E7307" w:rsidRPr="006E7307" w:rsidRDefault="006E7307" w:rsidP="006E7307">
      <w:pPr>
        <w:rPr>
          <w:rFonts w:ascii="Arial" w:hAnsi="Arial" w:cs="Arial"/>
        </w:rPr>
      </w:pPr>
      <w:r w:rsidRPr="006E7307">
        <w:rPr>
          <w:rFonts w:ascii="Arial" w:hAnsi="Arial" w:cs="Arial"/>
        </w:rPr>
        <w:t>lp.158</w:t>
      </w:r>
    </w:p>
    <w:p w:rsidR="006E7307" w:rsidRPr="006E7307" w:rsidRDefault="006E7307" w:rsidP="006E7307">
      <w:pPr>
        <w:rPr>
          <w:rFonts w:ascii="Arial" w:hAnsi="Arial" w:cs="Arial"/>
        </w:rPr>
      </w:pPr>
      <w:r w:rsidRPr="006E7307">
        <w:rPr>
          <w:rFonts w:ascii="Arial" w:hAnsi="Arial" w:cs="Arial"/>
        </w:rPr>
        <w:t>Czy Zamawiający dopuści aparat bez takiej funkcji, istnieje możliwość przesyłania tych danych po rozbudowie systemu monitorującego?</w:t>
      </w:r>
    </w:p>
    <w:p w:rsidR="006E7307" w:rsidRPr="006E7307" w:rsidRDefault="006E7307" w:rsidP="006E7307">
      <w:pPr>
        <w:rPr>
          <w:rFonts w:ascii="Arial" w:hAnsi="Arial" w:cs="Arial"/>
        </w:rPr>
      </w:pPr>
      <w:r w:rsidRPr="006E7307">
        <w:rPr>
          <w:rFonts w:ascii="Arial" w:hAnsi="Arial" w:cs="Arial"/>
        </w:rPr>
        <w:t>lp.160</w:t>
      </w:r>
    </w:p>
    <w:p w:rsidR="006E7307" w:rsidRPr="006E7307" w:rsidRDefault="006E7307" w:rsidP="006E7307">
      <w:pPr>
        <w:rPr>
          <w:rFonts w:ascii="Arial" w:hAnsi="Arial" w:cs="Arial"/>
        </w:rPr>
      </w:pPr>
      <w:r w:rsidRPr="006E7307">
        <w:rPr>
          <w:rFonts w:ascii="Arial" w:hAnsi="Arial" w:cs="Arial"/>
        </w:rPr>
        <w:t xml:space="preserve">Czy Zamawiający dopuści aparat z typową </w:t>
      </w:r>
      <w:proofErr w:type="spellStart"/>
      <w:r w:rsidRPr="006E7307">
        <w:rPr>
          <w:rFonts w:ascii="Arial" w:hAnsi="Arial" w:cs="Arial"/>
        </w:rPr>
        <w:t>pocedurą</w:t>
      </w:r>
      <w:proofErr w:type="spellEnd"/>
      <w:r w:rsidRPr="006E7307">
        <w:rPr>
          <w:rFonts w:ascii="Arial" w:hAnsi="Arial" w:cs="Arial"/>
        </w:rPr>
        <w:t xml:space="preserve"> uruchomieniową, </w:t>
      </w:r>
      <w:proofErr w:type="spellStart"/>
      <w:r w:rsidRPr="006E7307">
        <w:rPr>
          <w:rFonts w:ascii="Arial" w:hAnsi="Arial" w:cs="Arial"/>
        </w:rPr>
        <w:t>sprawdzajacą</w:t>
      </w:r>
      <w:proofErr w:type="spellEnd"/>
      <w:r w:rsidRPr="006E7307">
        <w:rPr>
          <w:rFonts w:ascii="Arial" w:hAnsi="Arial" w:cs="Arial"/>
        </w:rPr>
        <w:t xml:space="preserve"> poprawność działania układów pneumatycznych elektrycznych i elektronicznych, testy bezpieczeństwa wykonuje się przy pomocy dedykowanych specjalnych urządzeń?</w:t>
      </w:r>
    </w:p>
    <w:p w:rsidR="006E7307" w:rsidRPr="006E7307" w:rsidRDefault="006E7307" w:rsidP="006E7307">
      <w:pPr>
        <w:rPr>
          <w:rFonts w:ascii="Arial" w:hAnsi="Arial" w:cs="Arial"/>
        </w:rPr>
      </w:pPr>
      <w:r w:rsidRPr="006E7307">
        <w:rPr>
          <w:rFonts w:ascii="Arial" w:hAnsi="Arial" w:cs="Arial"/>
        </w:rPr>
        <w:t>lp.161</w:t>
      </w:r>
    </w:p>
    <w:p w:rsidR="006E7307" w:rsidRPr="006E7307" w:rsidRDefault="006E7307" w:rsidP="006E7307">
      <w:pPr>
        <w:rPr>
          <w:rFonts w:ascii="Arial" w:hAnsi="Arial" w:cs="Arial"/>
        </w:rPr>
      </w:pPr>
      <w:r w:rsidRPr="006E7307">
        <w:rPr>
          <w:rFonts w:ascii="Arial" w:hAnsi="Arial" w:cs="Arial"/>
        </w:rPr>
        <w:t>Czy Zamawiający dopuści aparat z procedurą trwającą około 2 minut?</w:t>
      </w:r>
    </w:p>
    <w:p w:rsidR="006E7307" w:rsidRPr="006E7307" w:rsidRDefault="006E7307" w:rsidP="006E7307">
      <w:pPr>
        <w:rPr>
          <w:rFonts w:ascii="Arial" w:hAnsi="Arial" w:cs="Arial"/>
        </w:rPr>
      </w:pPr>
      <w:r w:rsidRPr="006E7307">
        <w:rPr>
          <w:rFonts w:ascii="Arial" w:hAnsi="Arial" w:cs="Arial"/>
        </w:rPr>
        <w:t>lp.162</w:t>
      </w:r>
    </w:p>
    <w:p w:rsidR="006E7307" w:rsidRPr="006E7307" w:rsidRDefault="006E7307" w:rsidP="006E7307">
      <w:pPr>
        <w:rPr>
          <w:rFonts w:ascii="Arial" w:hAnsi="Arial" w:cs="Arial"/>
        </w:rPr>
      </w:pPr>
      <w:r w:rsidRPr="006E7307">
        <w:rPr>
          <w:rFonts w:ascii="Arial" w:hAnsi="Arial" w:cs="Arial"/>
        </w:rPr>
        <w:lastRenderedPageBreak/>
        <w:t>Czy Zamawiający dopuści aparat bez ciągłej prezentacji o braku przeprowadzenia testu, taka informacja jest eksponowana na ekranie startowym, jej ciągłe wyświetlanie zakłócałoby proces kliniczny?</w:t>
      </w:r>
    </w:p>
    <w:p w:rsidR="006E7307" w:rsidRPr="006E7307" w:rsidRDefault="006E7307" w:rsidP="006E7307">
      <w:pPr>
        <w:rPr>
          <w:rFonts w:ascii="Arial" w:hAnsi="Arial" w:cs="Arial"/>
        </w:rPr>
      </w:pPr>
      <w:r w:rsidRPr="006E7307">
        <w:rPr>
          <w:rFonts w:ascii="Arial" w:hAnsi="Arial" w:cs="Arial"/>
        </w:rPr>
        <w:t>lp.171</w:t>
      </w:r>
    </w:p>
    <w:p w:rsidR="006E7307" w:rsidRPr="006E7307" w:rsidRDefault="006E7307" w:rsidP="006E7307">
      <w:pPr>
        <w:rPr>
          <w:rFonts w:ascii="Arial" w:hAnsi="Arial" w:cs="Arial"/>
        </w:rPr>
      </w:pPr>
      <w:r w:rsidRPr="006E7307">
        <w:rPr>
          <w:rFonts w:ascii="Arial" w:hAnsi="Arial" w:cs="Arial"/>
        </w:rPr>
        <w:t>Czy Zamawiający dopuści aparat z objętością całkowitą zespołu oddechowego włącznie z jednorazowym pochłaniaczem (1,2L), wynoszącą typowo 2,18 litra?</w:t>
      </w:r>
    </w:p>
    <w:p w:rsidR="006E7307" w:rsidRPr="006E7307" w:rsidRDefault="006E7307" w:rsidP="006E7307">
      <w:pPr>
        <w:rPr>
          <w:rFonts w:ascii="Arial" w:hAnsi="Arial" w:cs="Arial"/>
        </w:rPr>
      </w:pPr>
      <w:r w:rsidRPr="006E7307">
        <w:rPr>
          <w:rFonts w:ascii="Arial" w:hAnsi="Arial" w:cs="Arial"/>
        </w:rPr>
        <w:t>lp.173</w:t>
      </w:r>
    </w:p>
    <w:p w:rsidR="006E7307" w:rsidRPr="006E7307" w:rsidRDefault="006E7307" w:rsidP="006E7307">
      <w:pPr>
        <w:rPr>
          <w:rFonts w:ascii="Arial" w:hAnsi="Arial" w:cs="Arial"/>
        </w:rPr>
      </w:pPr>
      <w:r w:rsidRPr="006E7307">
        <w:rPr>
          <w:rFonts w:ascii="Arial" w:hAnsi="Arial" w:cs="Arial"/>
        </w:rPr>
        <w:t>Czy Zamawiający zrezygnuje z tego wymagania, opis tej funkcji znajduje się także w pkt 152?</w:t>
      </w:r>
    </w:p>
    <w:p w:rsidR="006E7307" w:rsidRPr="006E7307" w:rsidRDefault="006E7307" w:rsidP="006E7307">
      <w:pPr>
        <w:rPr>
          <w:rFonts w:ascii="Arial" w:hAnsi="Arial" w:cs="Arial"/>
        </w:rPr>
      </w:pPr>
      <w:r w:rsidRPr="006E7307">
        <w:rPr>
          <w:rFonts w:ascii="Arial" w:hAnsi="Arial" w:cs="Arial"/>
        </w:rPr>
        <w:t>lp.174</w:t>
      </w:r>
    </w:p>
    <w:p w:rsidR="006E7307" w:rsidRPr="006E7307" w:rsidRDefault="006E7307" w:rsidP="006E7307">
      <w:pPr>
        <w:rPr>
          <w:rFonts w:ascii="Arial" w:hAnsi="Arial" w:cs="Arial"/>
        </w:rPr>
      </w:pPr>
      <w:r w:rsidRPr="006E7307">
        <w:rPr>
          <w:rFonts w:ascii="Arial" w:hAnsi="Arial" w:cs="Arial"/>
        </w:rPr>
        <w:t>Czy Zamawiający dopuści aparat o wydajności bypassu tlenowego z zakresu 25 do 75 l/min?</w:t>
      </w:r>
    </w:p>
    <w:p w:rsidR="006E7307" w:rsidRPr="006E7307" w:rsidRDefault="006E7307" w:rsidP="006E7307">
      <w:pPr>
        <w:rPr>
          <w:rFonts w:ascii="Arial" w:hAnsi="Arial" w:cs="Arial"/>
        </w:rPr>
      </w:pPr>
      <w:r w:rsidRPr="006E7307">
        <w:rPr>
          <w:rFonts w:ascii="Arial" w:hAnsi="Arial" w:cs="Arial"/>
        </w:rPr>
        <w:t>lp.175</w:t>
      </w:r>
    </w:p>
    <w:p w:rsidR="006E7307" w:rsidRPr="006E7307" w:rsidRDefault="006E7307" w:rsidP="006E7307">
      <w:pPr>
        <w:rPr>
          <w:rFonts w:ascii="Arial" w:hAnsi="Arial" w:cs="Arial"/>
        </w:rPr>
      </w:pPr>
      <w:r w:rsidRPr="006E7307">
        <w:rPr>
          <w:rFonts w:ascii="Arial" w:hAnsi="Arial" w:cs="Arial"/>
        </w:rPr>
        <w:t>Czy Zamawiający dopuści aparat z adapterem do stosowania pochłaniaczy  jednorazowych?</w:t>
      </w:r>
    </w:p>
    <w:p w:rsidR="006E7307" w:rsidRPr="006E7307" w:rsidRDefault="006E7307" w:rsidP="006E7307">
      <w:pPr>
        <w:rPr>
          <w:rFonts w:ascii="Arial" w:hAnsi="Arial" w:cs="Arial"/>
        </w:rPr>
      </w:pPr>
      <w:r w:rsidRPr="006E7307">
        <w:rPr>
          <w:rFonts w:ascii="Arial" w:hAnsi="Arial" w:cs="Arial"/>
        </w:rPr>
        <w:t>lp.176</w:t>
      </w:r>
    </w:p>
    <w:p w:rsidR="006E7307" w:rsidRPr="006E7307" w:rsidRDefault="006E7307" w:rsidP="006E7307">
      <w:pPr>
        <w:rPr>
          <w:rFonts w:ascii="Arial" w:hAnsi="Arial" w:cs="Arial"/>
        </w:rPr>
      </w:pPr>
      <w:r w:rsidRPr="006E7307">
        <w:rPr>
          <w:rFonts w:ascii="Arial" w:hAnsi="Arial" w:cs="Arial"/>
        </w:rPr>
        <w:t xml:space="preserve">Czy Zamawiający dopuści aparat z możliwością stosowania zbiorników wielorazowych i jednorazowych wymienianych bez </w:t>
      </w:r>
      <w:proofErr w:type="spellStart"/>
      <w:r w:rsidRPr="006E7307">
        <w:rPr>
          <w:rFonts w:ascii="Arial" w:hAnsi="Arial" w:cs="Arial"/>
        </w:rPr>
        <w:t>rozszczelniania</w:t>
      </w:r>
      <w:proofErr w:type="spellEnd"/>
      <w:r w:rsidRPr="006E7307">
        <w:rPr>
          <w:rFonts w:ascii="Arial" w:hAnsi="Arial" w:cs="Arial"/>
        </w:rPr>
        <w:t xml:space="preserve"> układu w czasie pracy?</w:t>
      </w:r>
    </w:p>
    <w:p w:rsidR="006E7307" w:rsidRPr="006E7307" w:rsidRDefault="006E7307" w:rsidP="006E7307">
      <w:pPr>
        <w:rPr>
          <w:rFonts w:ascii="Arial" w:hAnsi="Arial" w:cs="Arial"/>
        </w:rPr>
      </w:pPr>
      <w:r w:rsidRPr="006E7307">
        <w:rPr>
          <w:rFonts w:ascii="Arial" w:hAnsi="Arial" w:cs="Arial"/>
        </w:rPr>
        <w:t> </w:t>
      </w:r>
    </w:p>
    <w:p w:rsidR="006E7307" w:rsidRPr="006E7307" w:rsidRDefault="006E7307" w:rsidP="006E7307">
      <w:pPr>
        <w:rPr>
          <w:rFonts w:ascii="Arial" w:hAnsi="Arial" w:cs="Arial"/>
        </w:rPr>
      </w:pPr>
      <w:r w:rsidRPr="006E7307">
        <w:rPr>
          <w:rFonts w:ascii="Arial" w:hAnsi="Arial" w:cs="Arial"/>
        </w:rPr>
        <w:t>lp.180</w:t>
      </w:r>
    </w:p>
    <w:p w:rsidR="006E7307" w:rsidRPr="006E7307" w:rsidRDefault="006E7307" w:rsidP="006E7307">
      <w:pPr>
        <w:rPr>
          <w:rFonts w:ascii="Arial" w:hAnsi="Arial" w:cs="Arial"/>
        </w:rPr>
      </w:pPr>
      <w:r w:rsidRPr="006E7307">
        <w:rPr>
          <w:rFonts w:ascii="Arial" w:hAnsi="Arial" w:cs="Arial"/>
        </w:rPr>
        <w:t>Czy Zamawiający dopuści aparat z zastawką APL bez wytłoczonego punktu przy 20 cmH2O, pozwalającego przy odpowiednim skupieniu na dotykowe czyli bezwzrokowe stwierdzenie przekroczenia tej wartości? Prosimy o dopuszczenie aparatu bez takiej funkcji.</w:t>
      </w:r>
    </w:p>
    <w:p w:rsidR="006E7307" w:rsidRPr="006E7307" w:rsidRDefault="006E7307" w:rsidP="006E7307">
      <w:pPr>
        <w:rPr>
          <w:rFonts w:ascii="Arial" w:hAnsi="Arial" w:cs="Arial"/>
        </w:rPr>
      </w:pPr>
      <w:r w:rsidRPr="006E7307">
        <w:rPr>
          <w:rFonts w:ascii="Arial" w:hAnsi="Arial" w:cs="Arial"/>
        </w:rPr>
        <w:t>lp.181</w:t>
      </w:r>
    </w:p>
    <w:p w:rsidR="006E7307" w:rsidRPr="006E7307" w:rsidRDefault="006E7307" w:rsidP="006E7307">
      <w:pPr>
        <w:rPr>
          <w:rFonts w:ascii="Arial" w:hAnsi="Arial" w:cs="Arial"/>
        </w:rPr>
      </w:pPr>
      <w:r w:rsidRPr="006E7307">
        <w:rPr>
          <w:rFonts w:ascii="Arial" w:hAnsi="Arial" w:cs="Arial"/>
        </w:rPr>
        <w:t>Czy Zamawiający dopuści aparat z funkcją pauzy, której czas trwania jest ustawiany przez użytkownika w zakresie szerszym niż 2 minuty, a wznowienie wentylacji następuje na polecenie użytkownika?</w:t>
      </w:r>
    </w:p>
    <w:p w:rsidR="006E7307" w:rsidRPr="006E7307" w:rsidRDefault="006E7307" w:rsidP="006E7307">
      <w:pPr>
        <w:rPr>
          <w:rFonts w:ascii="Arial" w:hAnsi="Arial" w:cs="Arial"/>
        </w:rPr>
      </w:pPr>
      <w:r w:rsidRPr="006E7307">
        <w:rPr>
          <w:rFonts w:ascii="Arial" w:hAnsi="Arial" w:cs="Arial"/>
        </w:rPr>
        <w:t>lp.191</w:t>
      </w:r>
    </w:p>
    <w:p w:rsidR="006E7307" w:rsidRPr="006E7307" w:rsidRDefault="006E7307" w:rsidP="006E7307">
      <w:pPr>
        <w:rPr>
          <w:rFonts w:ascii="Arial" w:hAnsi="Arial" w:cs="Arial"/>
        </w:rPr>
      </w:pPr>
      <w:r w:rsidRPr="006E7307">
        <w:rPr>
          <w:rFonts w:ascii="Arial" w:hAnsi="Arial" w:cs="Arial"/>
        </w:rPr>
        <w:t>Czy Zamawiający zmieni wymóg na : TRYB WENTYLACJI HLM?</w:t>
      </w:r>
    </w:p>
    <w:p w:rsidR="006E7307" w:rsidRPr="006E7307" w:rsidRDefault="006E7307" w:rsidP="006E7307">
      <w:pPr>
        <w:rPr>
          <w:rFonts w:ascii="Arial" w:hAnsi="Arial" w:cs="Arial"/>
        </w:rPr>
      </w:pPr>
      <w:r w:rsidRPr="006E7307">
        <w:rPr>
          <w:rFonts w:ascii="Arial" w:hAnsi="Arial" w:cs="Arial"/>
        </w:rPr>
        <w:t>lp.194</w:t>
      </w:r>
    </w:p>
    <w:p w:rsidR="006E7307" w:rsidRPr="006E7307" w:rsidRDefault="006E7307" w:rsidP="006E7307">
      <w:pPr>
        <w:rPr>
          <w:rFonts w:ascii="Arial" w:hAnsi="Arial" w:cs="Arial"/>
        </w:rPr>
      </w:pPr>
      <w:r w:rsidRPr="006E7307">
        <w:rPr>
          <w:rFonts w:ascii="Arial" w:hAnsi="Arial" w:cs="Arial"/>
        </w:rPr>
        <w:t>Czy Zamawiający dopuści aparat z regulowanym czasem wdechu od 0,2 do 10 sekund, co zapewnia w zależności od innych nastaw uzyskanie stosunku nawet 50:1 do 1:50?</w:t>
      </w:r>
    </w:p>
    <w:p w:rsidR="006E7307" w:rsidRPr="006E7307" w:rsidRDefault="006E7307" w:rsidP="006E7307">
      <w:pPr>
        <w:rPr>
          <w:rFonts w:ascii="Arial" w:hAnsi="Arial" w:cs="Arial"/>
        </w:rPr>
      </w:pPr>
      <w:r w:rsidRPr="006E7307">
        <w:rPr>
          <w:rFonts w:ascii="Arial" w:hAnsi="Arial" w:cs="Arial"/>
        </w:rPr>
        <w:t>lp.197</w:t>
      </w:r>
    </w:p>
    <w:p w:rsidR="006E7307" w:rsidRPr="006E7307" w:rsidRDefault="006E7307" w:rsidP="006E7307">
      <w:pPr>
        <w:rPr>
          <w:rFonts w:ascii="Arial" w:hAnsi="Arial" w:cs="Arial"/>
        </w:rPr>
      </w:pPr>
      <w:r w:rsidRPr="006E7307">
        <w:rPr>
          <w:rFonts w:ascii="Arial" w:hAnsi="Arial" w:cs="Arial"/>
        </w:rPr>
        <w:t>Czy Zamawiający dopuści aparat z regulacją ciśnienia wdechowego od 1 do 80 cmH2O?</w:t>
      </w:r>
    </w:p>
    <w:p w:rsidR="006E7307" w:rsidRPr="006E7307" w:rsidRDefault="006E7307" w:rsidP="006E7307">
      <w:pPr>
        <w:rPr>
          <w:rFonts w:ascii="Arial" w:hAnsi="Arial" w:cs="Arial"/>
        </w:rPr>
      </w:pPr>
      <w:r w:rsidRPr="006E7307">
        <w:rPr>
          <w:rFonts w:ascii="Arial" w:hAnsi="Arial" w:cs="Arial"/>
        </w:rPr>
        <w:t>lp.198</w:t>
      </w:r>
    </w:p>
    <w:p w:rsidR="006E7307" w:rsidRPr="006E7307" w:rsidRDefault="006E7307" w:rsidP="006E7307">
      <w:pPr>
        <w:rPr>
          <w:rFonts w:ascii="Arial" w:hAnsi="Arial" w:cs="Arial"/>
        </w:rPr>
      </w:pPr>
      <w:r w:rsidRPr="006E7307">
        <w:rPr>
          <w:rFonts w:ascii="Arial" w:hAnsi="Arial" w:cs="Arial"/>
        </w:rPr>
        <w:t>Czy Zamawiający dopuści aparat z regulacją w zakresie co najmniej od 20 do 60%?</w:t>
      </w:r>
    </w:p>
    <w:p w:rsidR="006E7307" w:rsidRPr="006E7307" w:rsidRDefault="006E7307" w:rsidP="006E7307">
      <w:pPr>
        <w:rPr>
          <w:rFonts w:ascii="Arial" w:hAnsi="Arial" w:cs="Arial"/>
        </w:rPr>
      </w:pPr>
      <w:r w:rsidRPr="006E7307">
        <w:rPr>
          <w:rFonts w:ascii="Arial" w:hAnsi="Arial" w:cs="Arial"/>
        </w:rPr>
        <w:t>lp.199</w:t>
      </w:r>
    </w:p>
    <w:p w:rsidR="006E7307" w:rsidRPr="006E7307" w:rsidRDefault="006E7307" w:rsidP="006E7307">
      <w:pPr>
        <w:rPr>
          <w:rFonts w:ascii="Arial" w:hAnsi="Arial" w:cs="Arial"/>
        </w:rPr>
      </w:pPr>
      <w:r w:rsidRPr="006E7307">
        <w:rPr>
          <w:rFonts w:ascii="Arial" w:hAnsi="Arial" w:cs="Arial"/>
        </w:rPr>
        <w:t>Czy Zamawiający dopuści aparat z wyzwalaczem przepływowym z zakresem 0,3 do 15 l/min, bez wyzwalacza ciśnieniowego?</w:t>
      </w:r>
    </w:p>
    <w:p w:rsidR="006E7307" w:rsidRPr="006E7307" w:rsidRDefault="006E7307" w:rsidP="006E7307">
      <w:pPr>
        <w:rPr>
          <w:rFonts w:ascii="Arial" w:hAnsi="Arial" w:cs="Arial"/>
        </w:rPr>
      </w:pPr>
      <w:r w:rsidRPr="006E7307">
        <w:rPr>
          <w:rFonts w:ascii="Arial" w:hAnsi="Arial" w:cs="Arial"/>
        </w:rPr>
        <w:t>lp.203</w:t>
      </w:r>
    </w:p>
    <w:p w:rsidR="006E7307" w:rsidRPr="006E7307" w:rsidRDefault="006E7307" w:rsidP="006E7307">
      <w:pPr>
        <w:rPr>
          <w:rFonts w:ascii="Arial" w:hAnsi="Arial" w:cs="Arial"/>
        </w:rPr>
      </w:pPr>
      <w:r w:rsidRPr="006E7307">
        <w:rPr>
          <w:rFonts w:ascii="Arial" w:hAnsi="Arial" w:cs="Arial"/>
        </w:rPr>
        <w:t>Czy Zamawiający dopuści aparat bez alarmu częstości oddechowej? Taka funkcjonalność może być realizowana w monitorze.</w:t>
      </w:r>
    </w:p>
    <w:p w:rsidR="006E7307" w:rsidRPr="006E7307" w:rsidRDefault="006E7307" w:rsidP="006E7307">
      <w:pPr>
        <w:rPr>
          <w:rFonts w:ascii="Arial" w:hAnsi="Arial" w:cs="Arial"/>
        </w:rPr>
      </w:pPr>
      <w:r w:rsidRPr="006E7307">
        <w:rPr>
          <w:rFonts w:ascii="Arial" w:hAnsi="Arial" w:cs="Arial"/>
        </w:rPr>
        <w:t>lp.208</w:t>
      </w:r>
    </w:p>
    <w:p w:rsidR="006E7307" w:rsidRPr="006E7307" w:rsidRDefault="006E7307" w:rsidP="006E7307">
      <w:pPr>
        <w:rPr>
          <w:rFonts w:ascii="Arial" w:hAnsi="Arial" w:cs="Arial"/>
        </w:rPr>
      </w:pPr>
      <w:r w:rsidRPr="006E7307">
        <w:rPr>
          <w:rFonts w:ascii="Arial" w:hAnsi="Arial" w:cs="Arial"/>
        </w:rPr>
        <w:t xml:space="preserve">Prosimy o wyjaśnienie Czy Zamawiający wymaga aparatu z alarmem </w:t>
      </w:r>
      <w:proofErr w:type="spellStart"/>
      <w:r w:rsidRPr="006E7307">
        <w:rPr>
          <w:rFonts w:ascii="Arial" w:hAnsi="Arial" w:cs="Arial"/>
        </w:rPr>
        <w:t>apnea</w:t>
      </w:r>
      <w:proofErr w:type="spellEnd"/>
      <w:r w:rsidRPr="006E7307">
        <w:rPr>
          <w:rFonts w:ascii="Arial" w:hAnsi="Arial" w:cs="Arial"/>
        </w:rPr>
        <w:t xml:space="preserve"> aktywowanym na podstawie analizy CO2, przepływu i ciśnienia?</w:t>
      </w:r>
    </w:p>
    <w:p w:rsidR="006E7307" w:rsidRPr="006E7307" w:rsidRDefault="006E7307" w:rsidP="006E7307">
      <w:pPr>
        <w:rPr>
          <w:rFonts w:ascii="Arial" w:hAnsi="Arial" w:cs="Arial"/>
        </w:rPr>
      </w:pPr>
      <w:r w:rsidRPr="006E7307">
        <w:rPr>
          <w:rFonts w:ascii="Arial" w:hAnsi="Arial" w:cs="Arial"/>
        </w:rPr>
        <w:t>lp.209</w:t>
      </w:r>
    </w:p>
    <w:p w:rsidR="00622947" w:rsidRPr="006E7307" w:rsidRDefault="006E7307" w:rsidP="006E7307">
      <w:pPr>
        <w:rPr>
          <w:rFonts w:ascii="Arial" w:hAnsi="Arial" w:cs="Arial"/>
        </w:rPr>
      </w:pPr>
      <w:r w:rsidRPr="006E7307">
        <w:rPr>
          <w:rFonts w:ascii="Arial" w:hAnsi="Arial" w:cs="Arial"/>
        </w:rPr>
        <w:t>Czy Zamawiający dopuści aparat bez takiego alarmu, jest to alarm typowo techniczny, charakterystyczny dla określonych konstrukcji aparatu?</w:t>
      </w:r>
    </w:p>
    <w:p w:rsidR="00622947" w:rsidRDefault="00622947" w:rsidP="00622947">
      <w:pPr>
        <w:rPr>
          <w:rFonts w:ascii="Arial" w:hAnsi="Arial" w:cs="Arial"/>
          <w:b/>
          <w:u w:val="single"/>
        </w:rPr>
      </w:pPr>
    </w:p>
    <w:p w:rsidR="00622947" w:rsidRDefault="00622947" w:rsidP="00622947">
      <w:pPr>
        <w:rPr>
          <w:rFonts w:ascii="Arial" w:hAnsi="Arial" w:cs="Arial"/>
          <w:b/>
          <w:u w:val="single"/>
        </w:rPr>
      </w:pPr>
      <w:r>
        <w:rPr>
          <w:rFonts w:ascii="Arial" w:hAnsi="Arial" w:cs="Arial"/>
          <w:b/>
          <w:u w:val="single"/>
        </w:rPr>
        <w:t>Zapytania nr 1</w:t>
      </w:r>
      <w:r w:rsidR="006E7307">
        <w:rPr>
          <w:rFonts w:ascii="Arial" w:hAnsi="Arial" w:cs="Arial"/>
          <w:b/>
          <w:u w:val="single"/>
        </w:rPr>
        <w:t>5</w:t>
      </w:r>
    </w:p>
    <w:p w:rsidR="006E7307" w:rsidRPr="006E7307" w:rsidRDefault="006E7307" w:rsidP="006E7307">
      <w:pPr>
        <w:suppressAutoHyphens w:val="0"/>
        <w:autoSpaceDE w:val="0"/>
        <w:autoSpaceDN w:val="0"/>
        <w:adjustRightInd w:val="0"/>
        <w:rPr>
          <w:rFonts w:eastAsiaTheme="minorHAnsi"/>
          <w:color w:val="000000"/>
          <w:lang w:eastAsia="en-US"/>
        </w:rPr>
      </w:pPr>
    </w:p>
    <w:p w:rsidR="006E7307" w:rsidRPr="00DD21AB" w:rsidRDefault="006E7307" w:rsidP="00DD21AB">
      <w:pPr>
        <w:pStyle w:val="Akapitzlist"/>
        <w:numPr>
          <w:ilvl w:val="1"/>
          <w:numId w:val="17"/>
        </w:numPr>
        <w:autoSpaceDE w:val="0"/>
        <w:autoSpaceDN w:val="0"/>
        <w:adjustRightInd w:val="0"/>
        <w:rPr>
          <w:color w:val="000000"/>
        </w:rPr>
      </w:pPr>
      <w:r w:rsidRPr="00DD21AB">
        <w:rPr>
          <w:color w:val="000000"/>
        </w:rPr>
        <w:t xml:space="preserve"> Zgodnie z postanowieniami SIWZ przedmiotem zamówienia jest dostawa , montaż i uruchomienie sprzętu medycznego. Wykonanie dostawy nie obejmuje zatem wykonanie robót budowlanych i nie będą miały do </w:t>
      </w:r>
      <w:r w:rsidRPr="00DD21AB">
        <w:rPr>
          <w:color w:val="000000"/>
        </w:rPr>
        <w:lastRenderedPageBreak/>
        <w:t xml:space="preserve">dostawy zastosowania przepisy Prawa Budowlanego oraz nie wymaga się spełnienia wymogów przewidzianych w Prawie Budowlanym. Zamawiający w ramach tego postępowania udostępnił także opracowania pod nazwą UNIMED w załączniku nr 6 (plik o nazwie PW technologia – opis.pdf) oraz załącznik nr 3 (opis wykończenia pomieszczen.docx). Skoro zatem przedmiotem zamówienia jest dostawa sprzętu medycznego, jego montaż i uruchomienie to wykonawca nie będzie zobowiązany do wykonywania jakichkolwiek robót budowlanych, w tym związanych z wykończeniem pomieszczeń i innych w rozumieniu Prawa Budowlanego a udostępnianie powyższych dokumentów (załącznik nr 3 i załącznik nr 6) ma wyłącznie charakter informacyjny. </w:t>
      </w:r>
    </w:p>
    <w:p w:rsidR="006E7307" w:rsidRPr="006E7307" w:rsidRDefault="006E7307" w:rsidP="006E7307">
      <w:pPr>
        <w:suppressAutoHyphens w:val="0"/>
        <w:autoSpaceDE w:val="0"/>
        <w:autoSpaceDN w:val="0"/>
        <w:adjustRightInd w:val="0"/>
        <w:rPr>
          <w:rFonts w:eastAsiaTheme="minorHAnsi"/>
          <w:color w:val="000000"/>
          <w:sz w:val="22"/>
          <w:szCs w:val="22"/>
          <w:lang w:eastAsia="en-US"/>
        </w:rPr>
      </w:pPr>
      <w:r w:rsidRPr="006E7307">
        <w:rPr>
          <w:rFonts w:eastAsiaTheme="minorHAnsi"/>
          <w:color w:val="000000"/>
          <w:sz w:val="22"/>
          <w:szCs w:val="22"/>
          <w:lang w:eastAsia="en-US"/>
        </w:rPr>
        <w:t xml:space="preserve">Prosimy o potwierdzenie powyższego. </w:t>
      </w:r>
    </w:p>
    <w:p w:rsidR="006E7307" w:rsidRPr="006E7307" w:rsidRDefault="006E7307" w:rsidP="006E7307">
      <w:pPr>
        <w:suppressAutoHyphens w:val="0"/>
        <w:autoSpaceDE w:val="0"/>
        <w:autoSpaceDN w:val="0"/>
        <w:adjustRightInd w:val="0"/>
        <w:rPr>
          <w:rFonts w:eastAsiaTheme="minorHAnsi"/>
          <w:color w:val="000000"/>
          <w:sz w:val="22"/>
          <w:szCs w:val="22"/>
          <w:lang w:eastAsia="en-US"/>
        </w:rPr>
      </w:pPr>
      <w:r w:rsidRPr="006E7307">
        <w:rPr>
          <w:rFonts w:eastAsiaTheme="minorHAnsi"/>
          <w:b/>
          <w:bCs/>
          <w:color w:val="000000"/>
          <w:sz w:val="22"/>
          <w:szCs w:val="22"/>
          <w:lang w:eastAsia="en-US"/>
        </w:rPr>
        <w:t xml:space="preserve">2. </w:t>
      </w:r>
      <w:r w:rsidRPr="006E7307">
        <w:rPr>
          <w:rFonts w:eastAsiaTheme="minorHAnsi"/>
          <w:color w:val="000000"/>
          <w:sz w:val="22"/>
          <w:szCs w:val="22"/>
          <w:lang w:eastAsia="en-US"/>
        </w:rPr>
        <w:t xml:space="preserve">Zgodnie ze wzorem umowy (załącznik nr 9 – </w:t>
      </w:r>
      <w:proofErr w:type="spellStart"/>
      <w:r w:rsidRPr="006E7307">
        <w:rPr>
          <w:rFonts w:eastAsiaTheme="minorHAnsi"/>
          <w:color w:val="000000"/>
          <w:sz w:val="22"/>
          <w:szCs w:val="22"/>
          <w:lang w:eastAsia="en-US"/>
        </w:rPr>
        <w:t>Wzor</w:t>
      </w:r>
      <w:proofErr w:type="spellEnd"/>
      <w:r w:rsidRPr="006E7307">
        <w:rPr>
          <w:rFonts w:eastAsiaTheme="minorHAnsi"/>
          <w:color w:val="000000"/>
          <w:sz w:val="22"/>
          <w:szCs w:val="22"/>
          <w:lang w:eastAsia="en-US"/>
        </w:rPr>
        <w:t xml:space="preserve"> umowy.docx) §2 pkt. 2. 2) Wykonawca jest odpowiedzialny za “wykonanie i dostarczenie Zamawiającemu dokumentacji projektowej w zakresie projektu ochrony radiologicznej dla przedmiotu zamówienia oraz projektu ochrony radiologicznej wraz z pozytywną opinią Państwowej Agencji Atomistyki w zakresie pakietu I”. </w:t>
      </w:r>
    </w:p>
    <w:p w:rsidR="006E7307" w:rsidRPr="006E7307" w:rsidRDefault="006E7307" w:rsidP="00DD21AB">
      <w:pPr>
        <w:suppressAutoHyphens w:val="0"/>
        <w:autoSpaceDE w:val="0"/>
        <w:autoSpaceDN w:val="0"/>
        <w:adjustRightInd w:val="0"/>
        <w:rPr>
          <w:rFonts w:eastAsiaTheme="minorHAnsi"/>
          <w:sz w:val="22"/>
          <w:szCs w:val="22"/>
          <w:lang w:eastAsia="en-US"/>
        </w:rPr>
      </w:pPr>
      <w:r w:rsidRPr="006E7307">
        <w:rPr>
          <w:rFonts w:eastAsiaTheme="minorHAnsi"/>
          <w:color w:val="000000"/>
          <w:sz w:val="22"/>
          <w:szCs w:val="22"/>
          <w:lang w:eastAsia="en-US"/>
        </w:rPr>
        <w:t xml:space="preserve">Wszystkie roboty budowlane wymagane do wykonania konkretnych rozwiązań projektowych i uzyskania wyżej wymienionej opinii Państwowej Agencji </w:t>
      </w:r>
      <w:r w:rsidRPr="006E7307">
        <w:rPr>
          <w:rFonts w:eastAsiaTheme="minorHAnsi"/>
          <w:sz w:val="22"/>
          <w:szCs w:val="22"/>
          <w:lang w:eastAsia="en-US"/>
        </w:rPr>
        <w:t xml:space="preserve">Atomistyki są zatem już wykonane i nie są objęte przedmiotem niniejszego zamówienia. </w:t>
      </w:r>
    </w:p>
    <w:p w:rsidR="006E7307" w:rsidRPr="006E7307" w:rsidRDefault="006E7307" w:rsidP="006E7307">
      <w:pPr>
        <w:suppressAutoHyphens w:val="0"/>
        <w:autoSpaceDE w:val="0"/>
        <w:autoSpaceDN w:val="0"/>
        <w:adjustRightInd w:val="0"/>
        <w:rPr>
          <w:rFonts w:eastAsiaTheme="minorHAnsi"/>
          <w:sz w:val="22"/>
          <w:szCs w:val="22"/>
          <w:lang w:eastAsia="en-US"/>
        </w:rPr>
      </w:pPr>
      <w:r w:rsidRPr="006E7307">
        <w:rPr>
          <w:rFonts w:eastAsiaTheme="minorHAnsi"/>
          <w:sz w:val="22"/>
          <w:szCs w:val="22"/>
          <w:lang w:eastAsia="en-US"/>
        </w:rPr>
        <w:t xml:space="preserve">Prosimy zatem o potwierdzenie powyższego. </w:t>
      </w:r>
    </w:p>
    <w:p w:rsidR="006E7307" w:rsidRPr="006E7307" w:rsidRDefault="006E7307" w:rsidP="006E7307">
      <w:pPr>
        <w:suppressAutoHyphens w:val="0"/>
        <w:autoSpaceDE w:val="0"/>
        <w:autoSpaceDN w:val="0"/>
        <w:adjustRightInd w:val="0"/>
        <w:rPr>
          <w:rFonts w:eastAsiaTheme="minorHAnsi"/>
          <w:sz w:val="22"/>
          <w:szCs w:val="22"/>
          <w:lang w:eastAsia="en-US"/>
        </w:rPr>
      </w:pPr>
      <w:r w:rsidRPr="006E7307">
        <w:rPr>
          <w:rFonts w:eastAsiaTheme="minorHAnsi"/>
          <w:b/>
          <w:bCs/>
          <w:sz w:val="22"/>
          <w:szCs w:val="22"/>
          <w:lang w:eastAsia="en-US"/>
        </w:rPr>
        <w:t xml:space="preserve">3. </w:t>
      </w:r>
      <w:r w:rsidRPr="006E7307">
        <w:rPr>
          <w:rFonts w:eastAsiaTheme="minorHAnsi"/>
          <w:sz w:val="22"/>
          <w:szCs w:val="22"/>
          <w:lang w:eastAsia="en-US"/>
        </w:rPr>
        <w:t xml:space="preserve">Zgodnie z § 6.1.7) wyposażenie i aparatura medyczna mają być pozbawione blokad serwisowych, które po upływie gwarancji utrudniałyby Zamawiającemu dostęp do opcji serwisowych lub naprawę aparatu przez inny niż Wykonawca umowy podmiot, w przypadku nie korzystania przez Zamawiającego z serwisu pogwarancyjnego Wykonawcy. </w:t>
      </w:r>
    </w:p>
    <w:p w:rsidR="006E7307" w:rsidRPr="006E7307" w:rsidRDefault="006E7307" w:rsidP="006E7307">
      <w:pPr>
        <w:suppressAutoHyphens w:val="0"/>
        <w:autoSpaceDE w:val="0"/>
        <w:autoSpaceDN w:val="0"/>
        <w:adjustRightInd w:val="0"/>
        <w:rPr>
          <w:rFonts w:eastAsiaTheme="minorHAnsi"/>
          <w:sz w:val="22"/>
          <w:szCs w:val="22"/>
          <w:lang w:eastAsia="en-US"/>
        </w:rPr>
      </w:pPr>
      <w:r w:rsidRPr="006E7307">
        <w:rPr>
          <w:rFonts w:eastAsiaTheme="minorHAnsi"/>
          <w:sz w:val="22"/>
          <w:szCs w:val="22"/>
          <w:lang w:eastAsia="en-US"/>
        </w:rPr>
        <w:t xml:space="preserve">Prosimy zatem o doprecyzowanie i wyjaśnienie jakich dokładnie blokad, kluczy sprzętowych i kodów zabezpieczających oczekuje Zamawiający i w jakim terminie kody te maja być udostępnione. </w:t>
      </w:r>
    </w:p>
    <w:p w:rsidR="006E7307" w:rsidRDefault="006E7307" w:rsidP="006E7307">
      <w:pPr>
        <w:rPr>
          <w:rFonts w:eastAsiaTheme="minorHAnsi"/>
          <w:sz w:val="22"/>
          <w:szCs w:val="22"/>
          <w:lang w:eastAsia="en-US"/>
        </w:rPr>
      </w:pPr>
      <w:r w:rsidRPr="006E7307">
        <w:rPr>
          <w:rFonts w:eastAsiaTheme="minorHAnsi"/>
          <w:sz w:val="22"/>
          <w:szCs w:val="22"/>
          <w:lang w:eastAsia="en-US"/>
        </w:rPr>
        <w:t xml:space="preserve">Prosimy też o potwierdzenie, iż ewentualne usunięcie blokad oraz przekazanie kodów/kluczy i dopuszczenie Zamawiającego bądź jego pomocników do wykonywania usług serwisowych urządzeń, zwalnia Sprzedającego z wszelkiej odpowiedzialności za jakość i niezawodność urządzeń, co oznacza m. in. natychmiastowe wygaśnięcie gwarancji oraz wygaśnięcie odpowiedzialności za jakiekolwiek szkody wyrządzone przez to urządzenia w okresie pozagwarancyjnym (po usunięciu blokad i </w:t>
      </w:r>
      <w:proofErr w:type="spellStart"/>
      <w:r w:rsidRPr="006E7307">
        <w:rPr>
          <w:rFonts w:eastAsiaTheme="minorHAnsi"/>
          <w:sz w:val="22"/>
          <w:szCs w:val="22"/>
          <w:lang w:eastAsia="en-US"/>
        </w:rPr>
        <w:t>udstepnieniu</w:t>
      </w:r>
      <w:proofErr w:type="spellEnd"/>
      <w:r w:rsidRPr="006E7307">
        <w:rPr>
          <w:rFonts w:eastAsiaTheme="minorHAnsi"/>
          <w:sz w:val="22"/>
          <w:szCs w:val="22"/>
          <w:lang w:eastAsia="en-US"/>
        </w:rPr>
        <w:t xml:space="preserve"> kodów) oraz zrzeczenie się roszczeń w tym zakresie.</w:t>
      </w:r>
    </w:p>
    <w:p w:rsidR="006E7307" w:rsidRDefault="006E7307" w:rsidP="006E7307">
      <w:pPr>
        <w:rPr>
          <w:rFonts w:ascii="Arial" w:hAnsi="Arial" w:cs="Arial"/>
        </w:rPr>
      </w:pPr>
    </w:p>
    <w:p w:rsidR="006E7307" w:rsidRPr="006E7307" w:rsidRDefault="006E7307" w:rsidP="006E7307">
      <w:pPr>
        <w:rPr>
          <w:rFonts w:ascii="Arial" w:hAnsi="Arial" w:cs="Arial"/>
          <w:b/>
          <w:u w:val="single"/>
        </w:rPr>
      </w:pPr>
      <w:r w:rsidRPr="006E7307">
        <w:rPr>
          <w:rFonts w:ascii="Arial" w:hAnsi="Arial" w:cs="Arial"/>
          <w:b/>
          <w:u w:val="single"/>
        </w:rPr>
        <w:t>Zapytania nr 16</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bookmarkStart w:id="0" w:name="_Hlk505081796"/>
    </w:p>
    <w:p w:rsidR="006E7307" w:rsidRPr="006E7307" w:rsidRDefault="006E7307" w:rsidP="006E7307">
      <w:pPr>
        <w:numPr>
          <w:ilvl w:val="0"/>
          <w:numId w:val="23"/>
        </w:numPr>
        <w:suppressAutoHyphens w:val="0"/>
        <w:spacing w:line="276" w:lineRule="auto"/>
        <w:ind w:left="0" w:hanging="284"/>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rozdział II „opis przedmiotu zamówienia”.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 uwagi na zapisy:</w:t>
      </w:r>
    </w:p>
    <w:p w:rsidR="006E7307" w:rsidRPr="006E7307" w:rsidRDefault="006E7307" w:rsidP="006E7307">
      <w:pPr>
        <w:numPr>
          <w:ilvl w:val="0"/>
          <w:numId w:val="25"/>
        </w:numPr>
        <w:suppressAutoHyphens w:val="0"/>
        <w:spacing w:line="276" w:lineRule="auto"/>
        <w:contextualSpacing/>
        <w:jc w:val="both"/>
        <w:rPr>
          <w:rFonts w:ascii="Calibri" w:hAnsi="Calibri" w:cs="Calibri"/>
          <w:sz w:val="22"/>
          <w:szCs w:val="22"/>
          <w:lang w:val="en-US" w:eastAsia="en-US"/>
        </w:rPr>
      </w:pPr>
      <w:r w:rsidRPr="006E7307">
        <w:rPr>
          <w:rFonts w:ascii="Calibri" w:hAnsi="Calibri" w:cs="Calibri"/>
          <w:sz w:val="22"/>
          <w:szCs w:val="22"/>
          <w:lang w:eastAsia="en-US"/>
        </w:rPr>
        <w:t xml:space="preserve">SIWZ rodz. </w:t>
      </w:r>
      <w:r w:rsidRPr="006E7307">
        <w:rPr>
          <w:rFonts w:ascii="Calibri" w:hAnsi="Calibri" w:cs="Calibri"/>
          <w:sz w:val="22"/>
          <w:szCs w:val="22"/>
          <w:lang w:val="en-US" w:eastAsia="en-US"/>
        </w:rPr>
        <w:t>II pkt. 2 lit. a), b), f);</w:t>
      </w:r>
    </w:p>
    <w:p w:rsidR="006E7307" w:rsidRPr="006E7307" w:rsidRDefault="006E7307" w:rsidP="006E7307">
      <w:pPr>
        <w:numPr>
          <w:ilvl w:val="0"/>
          <w:numId w:val="25"/>
        </w:num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 xml:space="preserve">SIWZ rodz. II pkt. 3 </w:t>
      </w:r>
      <w:proofErr w:type="spellStart"/>
      <w:r w:rsidRPr="006E7307">
        <w:rPr>
          <w:rFonts w:ascii="Calibri" w:hAnsi="Calibri" w:cs="Calibri"/>
          <w:sz w:val="22"/>
          <w:szCs w:val="22"/>
          <w:lang w:eastAsia="en-US"/>
        </w:rPr>
        <w:t>tiret</w:t>
      </w:r>
      <w:proofErr w:type="spellEnd"/>
      <w:r w:rsidRPr="006E7307">
        <w:rPr>
          <w:rFonts w:ascii="Calibri" w:hAnsi="Calibri" w:cs="Calibri"/>
          <w:sz w:val="22"/>
          <w:szCs w:val="22"/>
          <w:lang w:eastAsia="en-US"/>
        </w:rPr>
        <w:t xml:space="preserve"> drugi;</w:t>
      </w:r>
    </w:p>
    <w:p w:rsidR="006E7307" w:rsidRPr="006E7307" w:rsidRDefault="006E7307" w:rsidP="006E7307">
      <w:pPr>
        <w:numPr>
          <w:ilvl w:val="0"/>
          <w:numId w:val="25"/>
        </w:num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Załącznik do SIWZ nr 2 plan pomieszczeń;</w:t>
      </w:r>
    </w:p>
    <w:p w:rsidR="006E7307" w:rsidRPr="006E7307" w:rsidRDefault="006E7307" w:rsidP="006E7307">
      <w:pPr>
        <w:numPr>
          <w:ilvl w:val="0"/>
          <w:numId w:val="25"/>
        </w:num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Załącznik do SIWZ nr 3 opis stanu wykończenia pomieszczeń na urządzenia wchodzące w skład przedmiotu zamówienia;</w:t>
      </w:r>
    </w:p>
    <w:p w:rsidR="006E7307" w:rsidRPr="006E7307" w:rsidRDefault="006E7307" w:rsidP="006E7307">
      <w:pPr>
        <w:numPr>
          <w:ilvl w:val="0"/>
          <w:numId w:val="25"/>
        </w:num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Załącznik do SIWZ nr 4- opis instalacji doprowadzonych do pomieszczeń objętych zamówieniem nr 5 dobór linii zasilających;</w:t>
      </w:r>
    </w:p>
    <w:p w:rsidR="006E7307" w:rsidRPr="006E7307" w:rsidRDefault="006E7307" w:rsidP="006E7307">
      <w:pPr>
        <w:numPr>
          <w:ilvl w:val="0"/>
          <w:numId w:val="25"/>
        </w:num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Załącznik do SIWZ nr 6 – projekt architektoniczny Siedleckiego Ośrodka Onkologii;</w:t>
      </w:r>
    </w:p>
    <w:p w:rsidR="006E7307" w:rsidRPr="006E7307" w:rsidRDefault="006E7307" w:rsidP="006E7307">
      <w:pPr>
        <w:numPr>
          <w:ilvl w:val="0"/>
          <w:numId w:val="25"/>
        </w:num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Załącznik do SIWZ nr 9 - § 2 ust. 2 pkt 2-3, § 3, § 4, § 5, § 8 ust. 3 pkt 3),</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r w:rsidRPr="006E7307">
        <w:rPr>
          <w:rFonts w:ascii="Calibri" w:hAnsi="Calibri" w:cs="Calibri"/>
          <w:sz w:val="22"/>
          <w:szCs w:val="22"/>
          <w:lang w:eastAsia="en-US"/>
        </w:rPr>
        <w:t xml:space="preserve">prosimy o potwierdzenie przez Zamawiającego, że przeprowadzenie robót budowalnych (instalacyjnych, wykończeniowych) związanych z przystosowaniem pomieszczeń nie wchodzi w zakres przedmiotu zamówienia zgodnie z SIWZ pkt III „opis przedmiotu zmówienia”. </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hanging="284"/>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 cz. II pkt 2 </w:t>
      </w:r>
      <w:proofErr w:type="spellStart"/>
      <w:r w:rsidRPr="006E7307">
        <w:rPr>
          <w:rFonts w:ascii="Calibri" w:hAnsi="Calibri" w:cs="Calibri"/>
          <w:b/>
          <w:sz w:val="22"/>
          <w:szCs w:val="22"/>
          <w:lang w:eastAsia="en-US"/>
        </w:rPr>
        <w:t>ppkt</w:t>
      </w:r>
      <w:proofErr w:type="spellEnd"/>
      <w:r w:rsidRPr="006E7307">
        <w:rPr>
          <w:rFonts w:ascii="Calibri" w:hAnsi="Calibri" w:cs="Calibri"/>
          <w:b/>
          <w:sz w:val="22"/>
          <w:szCs w:val="22"/>
          <w:lang w:eastAsia="en-US"/>
        </w:rPr>
        <w:t xml:space="preserve"> 2 lit. b w zw. z § 2 ust. 3 oraz § 5 ust. 1, § 8 ust. 3 pkt 3) Wzoru Umowy.</w:t>
      </w:r>
      <w:bookmarkStart w:id="1" w:name="_Hlk516662187"/>
    </w:p>
    <w:p w:rsidR="006E7307" w:rsidRPr="006E7307" w:rsidRDefault="006E7307" w:rsidP="006E7307">
      <w:pPr>
        <w:suppressAutoHyphens w:val="0"/>
        <w:spacing w:line="276" w:lineRule="auto"/>
        <w:contextualSpacing/>
        <w:jc w:val="both"/>
        <w:rPr>
          <w:rFonts w:ascii="Calibri" w:hAnsi="Calibri" w:cs="Calibri"/>
          <w:b/>
          <w:sz w:val="22"/>
          <w:szCs w:val="22"/>
          <w:lang w:eastAsia="en-US"/>
        </w:rPr>
      </w:pPr>
      <w:r w:rsidRPr="006E7307">
        <w:rPr>
          <w:rFonts w:ascii="Calibri" w:hAnsi="Calibri" w:cs="Calibri"/>
          <w:sz w:val="22"/>
          <w:szCs w:val="22"/>
          <w:lang w:eastAsia="en-US"/>
        </w:rPr>
        <w:t xml:space="preserve">Zamawiający proszony jest o potwierdzenie, że pomieszczenia, w których ma nastąpić instalacja i uruchomienie sprzętu medycznego stanowiącego przedmiot zamówienia, z momentem ich przekazania Wykonawcy, spełniać </w:t>
      </w:r>
      <w:r w:rsidRPr="006E7307">
        <w:rPr>
          <w:rFonts w:ascii="Calibri" w:hAnsi="Calibri" w:cs="Calibri"/>
          <w:sz w:val="22"/>
          <w:szCs w:val="22"/>
          <w:lang w:eastAsia="en-US"/>
        </w:rPr>
        <w:lastRenderedPageBreak/>
        <w:t>będą wymagania instalacyjne tego sprzętu określone przez jego producentów oraz wykończone będą zgodnie z dokumentacją techniczną, o której mowa w cz. II pkt 2 lit. b) SIWZ</w:t>
      </w:r>
      <w:bookmarkEnd w:id="1"/>
      <w:r w:rsidRPr="006E7307">
        <w:rPr>
          <w:rFonts w:ascii="Calibri" w:hAnsi="Calibri" w:cs="Calibri"/>
          <w:sz w:val="22"/>
          <w:szCs w:val="22"/>
          <w:lang w:eastAsia="en-US"/>
        </w:rPr>
        <w:t>.</w:t>
      </w:r>
      <w:r w:rsidRPr="006E7307">
        <w:rPr>
          <w:rFonts w:ascii="Calibri" w:hAnsi="Calibri" w:cs="Calibri"/>
          <w:b/>
          <w:sz w:val="22"/>
          <w:szCs w:val="22"/>
          <w:lang w:eastAsia="en-US"/>
        </w:rPr>
        <w:t xml:space="preserve"> </w:t>
      </w:r>
    </w:p>
    <w:p w:rsidR="006E7307" w:rsidRPr="006E7307" w:rsidRDefault="006E7307" w:rsidP="006E7307">
      <w:pPr>
        <w:suppressAutoHyphens w:val="0"/>
        <w:spacing w:line="276" w:lineRule="auto"/>
        <w:contextualSpacing/>
        <w:jc w:val="both"/>
        <w:rPr>
          <w:rFonts w:ascii="Calibri" w:hAnsi="Calibri" w:cs="Calibri"/>
          <w:b/>
          <w:sz w:val="22"/>
          <w:szCs w:val="22"/>
          <w:lang w:eastAsia="en-US"/>
        </w:rPr>
      </w:pPr>
    </w:p>
    <w:p w:rsidR="006E7307" w:rsidRPr="006E7307" w:rsidRDefault="006E7307" w:rsidP="006E7307">
      <w:pPr>
        <w:numPr>
          <w:ilvl w:val="0"/>
          <w:numId w:val="23"/>
        </w:numPr>
        <w:suppressAutoHyphens w:val="0"/>
        <w:spacing w:line="276" w:lineRule="auto"/>
        <w:ind w:left="0" w:hanging="284"/>
        <w:contextualSpacing/>
        <w:jc w:val="both"/>
        <w:rPr>
          <w:rFonts w:ascii="Calibri" w:hAnsi="Calibri" w:cs="Calibri"/>
          <w:sz w:val="22"/>
          <w:szCs w:val="22"/>
          <w:lang w:eastAsia="pl-PL"/>
        </w:rPr>
      </w:pPr>
      <w:r w:rsidRPr="006E7307">
        <w:rPr>
          <w:rFonts w:ascii="Calibri" w:hAnsi="Calibri" w:cs="Calibri"/>
          <w:b/>
          <w:sz w:val="22"/>
          <w:szCs w:val="22"/>
          <w:lang w:eastAsia="en-US"/>
        </w:rPr>
        <w:t>SIWZ – załącznik 9 „umowa -wzór” § 13 pkt 1) – udostepnienie pomieszczeń do realizacji przedmiotu zamówienia.</w:t>
      </w:r>
    </w:p>
    <w:p w:rsidR="006E7307" w:rsidRPr="006E7307" w:rsidRDefault="006E7307" w:rsidP="006E7307">
      <w:pPr>
        <w:tabs>
          <w:tab w:val="left" w:pos="567"/>
        </w:tabs>
        <w:suppressAutoHyphens w:val="0"/>
        <w:spacing w:after="200"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W celu zapewnienia realizacji przedmiotu umowy w terminie określonym SIWZ prosimy o potwierdzenie, iż Zamawiający udostępnieni Wykonawcy pomieszczenia spełniające wymogi instalacyjne aparatury będącej przedmiotem zamówienia nie później niż 2 miesiące przed końcową datą realizacji całego przedmiotu zamówienia.  </w:t>
      </w:r>
    </w:p>
    <w:p w:rsidR="006E7307" w:rsidRPr="006E7307" w:rsidRDefault="006E7307" w:rsidP="006E7307">
      <w:pPr>
        <w:numPr>
          <w:ilvl w:val="0"/>
          <w:numId w:val="23"/>
        </w:numPr>
        <w:suppressAutoHyphens w:val="0"/>
        <w:spacing w:line="276" w:lineRule="auto"/>
        <w:ind w:left="0" w:hanging="284"/>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rozdział III pkt 4 „sposób realizacji zamówienia”. </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r w:rsidRPr="006E7307">
        <w:rPr>
          <w:rFonts w:ascii="Calibri" w:hAnsi="Calibri" w:cs="Calibri"/>
          <w:sz w:val="22"/>
          <w:szCs w:val="22"/>
          <w:lang w:eastAsia="en-US"/>
        </w:rPr>
        <w:t>Zwracamy się z prośbą do Zamawiającego o przedłużenie terminu realizacji zamówienia o 1 miesiąc tj. do 15 grudnia 2018 r., prośba powyższa wynika z faktu, iż minimalny czas na instalacje aparatury będącej przedmiotem zamówienia wynosi 2 miesiące.</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hanging="284"/>
        <w:contextualSpacing/>
        <w:jc w:val="both"/>
        <w:rPr>
          <w:rFonts w:ascii="Calibri" w:hAnsi="Calibri" w:cs="Calibri"/>
          <w:sz w:val="22"/>
          <w:szCs w:val="22"/>
          <w:lang w:eastAsia="pl-PL"/>
        </w:rPr>
      </w:pPr>
      <w:r w:rsidRPr="006E7307">
        <w:rPr>
          <w:rFonts w:ascii="Calibri" w:hAnsi="Calibri" w:cs="Calibri"/>
          <w:b/>
          <w:sz w:val="22"/>
          <w:szCs w:val="22"/>
          <w:lang w:eastAsia="en-US"/>
        </w:rPr>
        <w:t>SIWZ – załącznik 9 „umowa -wzór” § 13 pkt 1) – udostepnienie pomieszczeń do realizacji przedmiotu zamówienia.</w:t>
      </w:r>
    </w:p>
    <w:p w:rsidR="006E7307" w:rsidRPr="006E7307" w:rsidRDefault="006E7307" w:rsidP="006E7307">
      <w:pPr>
        <w:suppressAutoHyphens w:val="0"/>
        <w:autoSpaceDE w:val="0"/>
        <w:autoSpaceDN w:val="0"/>
        <w:adjustRightInd w:val="0"/>
        <w:spacing w:line="276" w:lineRule="auto"/>
        <w:contextualSpacing/>
        <w:jc w:val="both"/>
        <w:rPr>
          <w:rFonts w:ascii="Calibri" w:eastAsia="Calibri" w:hAnsi="Calibri" w:cs="Calibri"/>
          <w:bCs/>
          <w:sz w:val="22"/>
          <w:szCs w:val="22"/>
          <w:lang w:eastAsia="en-US"/>
        </w:rPr>
      </w:pPr>
      <w:r w:rsidRPr="006E7307">
        <w:rPr>
          <w:rFonts w:ascii="Calibri" w:eastAsia="Calibri" w:hAnsi="Calibri" w:cs="Calibri"/>
          <w:bCs/>
          <w:sz w:val="22"/>
          <w:szCs w:val="22"/>
          <w:lang w:eastAsia="en-US"/>
        </w:rPr>
        <w:t>Prosimy Zamawiającego o potwierdzenie, iż w przypadku przesunięcia terminu przekazania pomieszczeń spełniających wymagania instalacyjne sprzętu będącego przedmiotem zamówienia w mocy pozostanie zapis umowy w brzmieniu: „W przypadku opóźnienia Zamawiającego w udostepnieniu Wykonawcy pomieszczeń do montażu i instalacji sprzętu stanowiącego przedmiot zamówienia, w stanie spełniającym wymagania instalacyjne sprzętu, termin realizacji całego przedmiotu zamówienia ulega przesunięciu o liczbę dni opóźnienia Zamawiającego (roboczych</w:t>
      </w:r>
      <w:r w:rsidRPr="006E7307">
        <w:rPr>
          <w:rFonts w:ascii="Calibri" w:eastAsia="Calibri" w:hAnsi="Calibri" w:cs="Calibri"/>
          <w:sz w:val="22"/>
          <w:szCs w:val="22"/>
          <w:lang w:eastAsia="en-US"/>
        </w:rPr>
        <w:t>, przy czym za dni robocze przyjmuje się dni inne niż soboty, niedziele i dni ustawowo wolne od pracy</w:t>
      </w:r>
      <w:r w:rsidRPr="006E7307">
        <w:rPr>
          <w:rFonts w:ascii="Calibri" w:eastAsia="Calibri" w:hAnsi="Calibri" w:cs="Calibri"/>
          <w:bCs/>
          <w:sz w:val="22"/>
          <w:szCs w:val="22"/>
          <w:lang w:eastAsia="en-US"/>
        </w:rPr>
        <w:t>). Przekazanie pomieszczeń nastąpi na podstawie protokołu zdawczo – odbiorczego w formie pisemnej.”.</w:t>
      </w:r>
    </w:p>
    <w:p w:rsidR="006E7307" w:rsidRPr="006E7307" w:rsidRDefault="006E7307" w:rsidP="006E7307">
      <w:pPr>
        <w:suppressAutoHyphens w:val="0"/>
        <w:spacing w:after="200" w:line="276" w:lineRule="auto"/>
        <w:contextualSpacing/>
        <w:jc w:val="both"/>
        <w:rPr>
          <w:rFonts w:ascii="Calibri" w:eastAsia="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eastAsia="Calibri" w:hAnsi="Calibri" w:cs="Calibri"/>
          <w:sz w:val="22"/>
          <w:szCs w:val="22"/>
          <w:lang w:eastAsia="en-US"/>
        </w:rPr>
      </w:pPr>
      <w:r w:rsidRPr="006E7307">
        <w:rPr>
          <w:rFonts w:ascii="Calibri" w:eastAsia="Calibri" w:hAnsi="Calibri" w:cs="Calibri"/>
          <w:b/>
          <w:sz w:val="22"/>
          <w:szCs w:val="22"/>
          <w:lang w:eastAsia="en-US"/>
        </w:rPr>
        <w:t xml:space="preserve">Załącznik nr 1 do SIWZ, Oferta techniczna – zakładka </w:t>
      </w:r>
      <w:proofErr w:type="spellStart"/>
      <w:r w:rsidRPr="006E7307">
        <w:rPr>
          <w:rFonts w:ascii="Calibri" w:eastAsia="Calibri" w:hAnsi="Calibri" w:cs="Calibri"/>
          <w:b/>
          <w:sz w:val="22"/>
          <w:szCs w:val="22"/>
          <w:lang w:eastAsia="en-US"/>
        </w:rPr>
        <w:t>Teleradioterapia</w:t>
      </w:r>
      <w:proofErr w:type="spellEnd"/>
      <w:r w:rsidRPr="006E7307">
        <w:rPr>
          <w:rFonts w:ascii="Calibri" w:eastAsia="Calibri" w:hAnsi="Calibri" w:cs="Calibri"/>
          <w:b/>
          <w:sz w:val="22"/>
          <w:szCs w:val="22"/>
          <w:lang w:eastAsia="en-US"/>
        </w:rPr>
        <w:t>, pozycja 217.1</w:t>
      </w:r>
    </w:p>
    <w:p w:rsidR="006E7307" w:rsidRPr="006E7307" w:rsidRDefault="006E7307" w:rsidP="006E7307">
      <w:pPr>
        <w:suppressAutoHyphens w:val="0"/>
        <w:spacing w:line="276" w:lineRule="auto"/>
        <w:contextualSpacing/>
        <w:rPr>
          <w:rFonts w:ascii="Calibri" w:eastAsia="Calibri" w:hAnsi="Calibri" w:cs="Calibri"/>
          <w:sz w:val="22"/>
          <w:szCs w:val="22"/>
          <w:lang w:eastAsia="en-US"/>
        </w:rPr>
      </w:pPr>
      <w:r w:rsidRPr="006E7307">
        <w:rPr>
          <w:rFonts w:ascii="Calibri" w:eastAsia="Calibri" w:hAnsi="Calibri" w:cs="Calibri"/>
          <w:sz w:val="22"/>
          <w:szCs w:val="22"/>
          <w:lang w:eastAsia="en-US"/>
        </w:rPr>
        <w:t>Czy w celu złożenia ważnej niepodlegającej odrzuceniu oferty Zamawiający zaakceptuje zautomatyzowany fantom wodny 1D, którego dokładność pozycjonowania detektora jest ≤ 0,4 mm?</w:t>
      </w:r>
    </w:p>
    <w:p w:rsidR="006E7307" w:rsidRPr="006E7307" w:rsidRDefault="006E7307" w:rsidP="006E7307">
      <w:pPr>
        <w:suppressAutoHyphens w:val="0"/>
        <w:spacing w:line="276" w:lineRule="auto"/>
        <w:contextualSpacing/>
        <w:rPr>
          <w:rFonts w:ascii="Calibri" w:eastAsia="Calibri" w:hAnsi="Calibri" w:cs="Calibri"/>
          <w:sz w:val="22"/>
          <w:szCs w:val="22"/>
          <w:lang w:eastAsia="en-US"/>
        </w:rPr>
      </w:pPr>
    </w:p>
    <w:p w:rsidR="006E7307" w:rsidRPr="006E7307" w:rsidRDefault="006E7307" w:rsidP="006E7307">
      <w:pPr>
        <w:numPr>
          <w:ilvl w:val="0"/>
          <w:numId w:val="23"/>
        </w:numPr>
        <w:suppressAutoHyphens w:val="0"/>
        <w:spacing w:line="276" w:lineRule="auto"/>
        <w:ind w:left="0" w:hanging="284"/>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rozdział II pkt 3 „dokumenty wymagane dla przedmiotu zamówienia”, </w:t>
      </w:r>
      <w:proofErr w:type="spellStart"/>
      <w:r w:rsidRPr="006E7307">
        <w:rPr>
          <w:rFonts w:ascii="Calibri" w:hAnsi="Calibri" w:cs="Calibri"/>
          <w:b/>
          <w:sz w:val="22"/>
          <w:szCs w:val="22"/>
          <w:lang w:eastAsia="en-US"/>
        </w:rPr>
        <w:t>ppkt</w:t>
      </w:r>
      <w:proofErr w:type="spellEnd"/>
      <w:r w:rsidRPr="006E7307">
        <w:rPr>
          <w:rFonts w:ascii="Calibri" w:hAnsi="Calibri" w:cs="Calibri"/>
          <w:b/>
          <w:sz w:val="22"/>
          <w:szCs w:val="22"/>
          <w:lang w:eastAsia="en-US"/>
        </w:rPr>
        <w:t xml:space="preserve"> 1 –  materiały informacyjne. </w:t>
      </w:r>
    </w:p>
    <w:p w:rsidR="006E7307" w:rsidRPr="006E7307" w:rsidRDefault="006E7307" w:rsidP="006E7307">
      <w:pPr>
        <w:suppressAutoHyphens w:val="0"/>
        <w:spacing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Czy z uwagi na zapis art. 9 ust. 3 ustawy z dnia 29 stycznia 2004 r. – Prawo zamówień publicznych i zgodnie z zapisami art. 14 ust. 2 ustawy z dnia 20 maja 2010 r. o wyrobach medycznych oraz </w:t>
      </w:r>
      <w:r w:rsidRPr="006E7307">
        <w:rPr>
          <w:rFonts w:ascii="Calibri" w:hAnsi="Calibri" w:cs="Calibri"/>
          <w:sz w:val="22"/>
          <w:szCs w:val="22"/>
          <w:lang w:eastAsia="en-US"/>
        </w:rPr>
        <w:t>z</w:t>
      </w:r>
      <w:r w:rsidRPr="006E7307">
        <w:rPr>
          <w:rFonts w:ascii="Calibri" w:eastAsia="Calibri" w:hAnsi="Calibri" w:cs="Calibri"/>
          <w:sz w:val="22"/>
          <w:szCs w:val="22"/>
          <w:lang w:eastAsia="en-US"/>
        </w:rPr>
        <w:t>ważywszy, że realizacja przedmiotu postępowania odbywa się na rze</w:t>
      </w:r>
      <w:r w:rsidRPr="006E7307">
        <w:rPr>
          <w:rFonts w:ascii="Calibri" w:hAnsi="Calibri" w:cs="Calibri"/>
          <w:sz w:val="22"/>
          <w:szCs w:val="22"/>
          <w:lang w:eastAsia="en-US"/>
        </w:rPr>
        <w:t>c</w:t>
      </w:r>
      <w:r w:rsidRPr="006E7307">
        <w:rPr>
          <w:rFonts w:ascii="Calibri" w:eastAsia="Calibri" w:hAnsi="Calibri" w:cs="Calibri"/>
          <w:sz w:val="22"/>
          <w:szCs w:val="22"/>
          <w:lang w:eastAsia="en-US"/>
        </w:rPr>
        <w:t xml:space="preserve">z profesjonalnego użytkownika - Zamawiający dopuści dołączenie do oferty </w:t>
      </w:r>
      <w:r w:rsidRPr="006E7307">
        <w:rPr>
          <w:rFonts w:ascii="Calibri" w:hAnsi="Calibri" w:cs="Calibri"/>
          <w:sz w:val="22"/>
          <w:szCs w:val="22"/>
          <w:lang w:eastAsia="en-US"/>
        </w:rPr>
        <w:t>materiałów informacyjnych, prospektów lub kart katalogowych potwierdzających spełnianie przez oferowany sprzęt/aparat/wyposażenie parametrów technicznych wymaganych i oferowanych, określonych w Ofercie technicznej</w:t>
      </w:r>
      <w:r w:rsidRPr="006E7307">
        <w:rPr>
          <w:rFonts w:ascii="Calibri" w:eastAsia="Calibri" w:hAnsi="Calibri" w:cs="Calibri"/>
          <w:sz w:val="22"/>
          <w:szCs w:val="22"/>
          <w:lang w:eastAsia="en-US"/>
        </w:rPr>
        <w:t>, w języku angielskim, bez tłumaczenia na język polski?</w:t>
      </w:r>
    </w:p>
    <w:p w:rsidR="006E7307" w:rsidRPr="006E7307" w:rsidRDefault="006E7307" w:rsidP="006E7307">
      <w:pPr>
        <w:suppressAutoHyphens w:val="0"/>
        <w:spacing w:line="276" w:lineRule="auto"/>
        <w:contextualSpacing/>
        <w:jc w:val="both"/>
        <w:rPr>
          <w:rFonts w:ascii="Calibri" w:eastAsia="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rozdział II pkt 3 „dokumenty wymagane dla przedmiotu zamówienia”, </w:t>
      </w:r>
      <w:proofErr w:type="spellStart"/>
      <w:r w:rsidRPr="006E7307">
        <w:rPr>
          <w:rFonts w:ascii="Calibri" w:hAnsi="Calibri" w:cs="Calibri"/>
          <w:b/>
          <w:sz w:val="22"/>
          <w:szCs w:val="22"/>
          <w:lang w:eastAsia="en-US"/>
        </w:rPr>
        <w:t>ppkt</w:t>
      </w:r>
      <w:proofErr w:type="spellEnd"/>
      <w:r w:rsidRPr="006E7307">
        <w:rPr>
          <w:rFonts w:ascii="Calibri" w:hAnsi="Calibri" w:cs="Calibri"/>
          <w:b/>
          <w:sz w:val="22"/>
          <w:szCs w:val="22"/>
          <w:lang w:eastAsia="en-US"/>
        </w:rPr>
        <w:t xml:space="preserve"> 1 –  materiały informacyjne. </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r w:rsidRPr="006E7307">
        <w:rPr>
          <w:rFonts w:ascii="Calibri" w:hAnsi="Calibri" w:cs="Calibri"/>
          <w:sz w:val="22"/>
          <w:szCs w:val="22"/>
          <w:lang w:eastAsia="pl-PL"/>
        </w:rPr>
        <w:t>Czy Zamawiający potwierdzi, że przez materiały informacyjne z parametrami technicznymi oferowanego sprzętu należy rozumieć załączone do oferty oryginalne materiały producenta, prospekty lub karty katalogowe, a w przypadku, gdy wymagane parametry nie mają poświadczenia w tych dokumentach – oświadczenie poświadczające, że oferowany sprzęt posiada parametry opisane w SIWZ wystawione przez producenta albo Wykonawcę albo upoważnionego podmiotu działającego w imieniu producenta na terytorium RP?</w:t>
      </w:r>
    </w:p>
    <w:bookmarkEnd w:id="0"/>
    <w:p w:rsidR="006E7307" w:rsidRPr="006E7307" w:rsidRDefault="006E7307" w:rsidP="006E7307">
      <w:pPr>
        <w:suppressAutoHyphens w:val="0"/>
        <w:spacing w:line="276" w:lineRule="auto"/>
        <w:contextualSpacing/>
        <w:jc w:val="both"/>
        <w:rPr>
          <w:rFonts w:ascii="Calibri" w:hAnsi="Calibri" w:cs="Calibri"/>
          <w:b/>
          <w:sz w:val="22"/>
          <w:szCs w:val="22"/>
          <w:lang w:eastAsia="en-US"/>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b/>
          <w:sz w:val="22"/>
          <w:szCs w:val="22"/>
          <w:lang w:eastAsia="pl-PL"/>
        </w:rPr>
      </w:pPr>
      <w:r w:rsidRPr="006E7307">
        <w:rPr>
          <w:rFonts w:ascii="Calibri" w:hAnsi="Calibri" w:cs="Calibri"/>
          <w:b/>
          <w:sz w:val="22"/>
          <w:szCs w:val="22"/>
          <w:lang w:eastAsia="en-US"/>
        </w:rPr>
        <w:t xml:space="preserve">SIWZ - cz. II pkt 2 </w:t>
      </w:r>
      <w:proofErr w:type="spellStart"/>
      <w:r w:rsidRPr="006E7307">
        <w:rPr>
          <w:rFonts w:ascii="Calibri" w:hAnsi="Calibri" w:cs="Calibri"/>
          <w:b/>
          <w:sz w:val="22"/>
          <w:szCs w:val="22"/>
          <w:lang w:eastAsia="en-US"/>
        </w:rPr>
        <w:t>ppkt</w:t>
      </w:r>
      <w:proofErr w:type="spellEnd"/>
      <w:r w:rsidRPr="006E7307">
        <w:rPr>
          <w:rFonts w:ascii="Calibri" w:hAnsi="Calibri" w:cs="Calibri"/>
          <w:b/>
          <w:sz w:val="22"/>
          <w:szCs w:val="22"/>
          <w:lang w:eastAsia="en-US"/>
        </w:rPr>
        <w:t xml:space="preserve"> 2 lit. c oraz zał. nr 9 wzór umowy § 2 ust. 2 pkt 2 </w:t>
      </w:r>
      <w:r w:rsidRPr="006E7307">
        <w:rPr>
          <w:rFonts w:ascii="Calibri" w:hAnsi="Calibri" w:cs="Calibri"/>
          <w:sz w:val="22"/>
          <w:szCs w:val="22"/>
          <w:lang w:eastAsia="en-US"/>
        </w:rPr>
        <w:t xml:space="preserve">– </w:t>
      </w:r>
      <w:r w:rsidRPr="006E7307">
        <w:rPr>
          <w:rFonts w:ascii="Calibri" w:hAnsi="Calibri" w:cs="Calibri"/>
          <w:b/>
          <w:sz w:val="22"/>
          <w:szCs w:val="22"/>
          <w:lang w:eastAsia="en-US"/>
        </w:rPr>
        <w:t>dotyczy wykonania i dostarczenia projektu ochrony radiologicznej dla Przedmiotu Zamówienia oraz projektu ochrony radiologicznej na magazyn źródeł zamkniętych - wraz z pozytywną opinią PAA.</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lastRenderedPageBreak/>
        <w:t>Zamawiający proszony jest o wykreślenie treści w brzmieniu: „</w:t>
      </w:r>
      <w:r w:rsidRPr="006E7307">
        <w:rPr>
          <w:rFonts w:ascii="Calibri" w:hAnsi="Calibri" w:cs="Calibri"/>
          <w:i/>
          <w:sz w:val="22"/>
          <w:szCs w:val="22"/>
          <w:lang w:eastAsia="en-US"/>
        </w:rPr>
        <w:t>wraz z pozytywną opinią PAA</w:t>
      </w:r>
      <w:r w:rsidRPr="006E7307">
        <w:rPr>
          <w:rFonts w:ascii="Calibri" w:hAnsi="Calibri" w:cs="Calibri"/>
          <w:sz w:val="22"/>
          <w:szCs w:val="22"/>
          <w:lang w:eastAsia="en-US"/>
        </w:rPr>
        <w:t xml:space="preserve">” </w:t>
      </w:r>
      <w:bookmarkStart w:id="2" w:name="_Hlk516660948"/>
      <w:r w:rsidRPr="006E7307">
        <w:rPr>
          <w:rFonts w:ascii="Calibri" w:hAnsi="Calibri" w:cs="Calibri"/>
          <w:sz w:val="22"/>
          <w:szCs w:val="22"/>
          <w:lang w:eastAsia="en-US"/>
        </w:rPr>
        <w:t>ponieważ w zakresie ochrony radiologicznej PAA nie jest zobowiązane powszechnie obowiązującymi przepisami prawa do wydawania opinii, a jedynie przyjmuje stosowną dokumentację</w:t>
      </w:r>
      <w:bookmarkEnd w:id="2"/>
      <w:r w:rsidRPr="006E7307">
        <w:rPr>
          <w:rFonts w:ascii="Calibri" w:hAnsi="Calibri" w:cs="Calibri"/>
          <w:sz w:val="22"/>
          <w:szCs w:val="22"/>
          <w:lang w:eastAsia="en-US"/>
        </w:rPr>
        <w:t>.</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p>
    <w:p w:rsidR="006E7307" w:rsidRPr="006E7307" w:rsidRDefault="006E7307" w:rsidP="006E7307">
      <w:pPr>
        <w:numPr>
          <w:ilvl w:val="0"/>
          <w:numId w:val="23"/>
        </w:numPr>
        <w:suppressAutoHyphens w:val="0"/>
        <w:spacing w:after="200" w:line="276" w:lineRule="auto"/>
        <w:ind w:left="0"/>
        <w:contextualSpacing/>
        <w:jc w:val="both"/>
        <w:rPr>
          <w:rFonts w:ascii="Calibri" w:eastAsia="Calibri" w:hAnsi="Calibri" w:cs="Calibri"/>
          <w:i/>
          <w:sz w:val="22"/>
          <w:szCs w:val="22"/>
          <w:lang w:eastAsia="en-US"/>
        </w:rPr>
      </w:pPr>
      <w:bookmarkStart w:id="3" w:name="_Hlk516655503"/>
      <w:r w:rsidRPr="006E7307">
        <w:rPr>
          <w:rFonts w:ascii="Calibri" w:eastAsia="Calibri" w:hAnsi="Calibri" w:cs="Calibri"/>
          <w:b/>
          <w:sz w:val="22"/>
          <w:szCs w:val="22"/>
          <w:lang w:eastAsia="en-US"/>
        </w:rPr>
        <w:t xml:space="preserve">SIWZ - cz. II pkt 2 </w:t>
      </w:r>
      <w:proofErr w:type="spellStart"/>
      <w:r w:rsidRPr="006E7307">
        <w:rPr>
          <w:rFonts w:ascii="Calibri" w:eastAsia="Calibri" w:hAnsi="Calibri" w:cs="Calibri"/>
          <w:b/>
          <w:sz w:val="22"/>
          <w:szCs w:val="22"/>
          <w:lang w:eastAsia="en-US"/>
        </w:rPr>
        <w:t>ppkt</w:t>
      </w:r>
      <w:proofErr w:type="spellEnd"/>
      <w:r w:rsidRPr="006E7307">
        <w:rPr>
          <w:rFonts w:ascii="Calibri" w:eastAsia="Calibri" w:hAnsi="Calibri" w:cs="Calibri"/>
          <w:b/>
          <w:sz w:val="22"/>
          <w:szCs w:val="22"/>
          <w:lang w:eastAsia="en-US"/>
        </w:rPr>
        <w:t xml:space="preserve"> 3 </w:t>
      </w:r>
      <w:proofErr w:type="spellStart"/>
      <w:r w:rsidRPr="006E7307">
        <w:rPr>
          <w:rFonts w:ascii="Calibri" w:eastAsia="Calibri" w:hAnsi="Calibri" w:cs="Calibri"/>
          <w:b/>
          <w:sz w:val="22"/>
          <w:szCs w:val="22"/>
          <w:lang w:eastAsia="en-US"/>
        </w:rPr>
        <w:t>tiret</w:t>
      </w:r>
      <w:proofErr w:type="spellEnd"/>
      <w:r w:rsidRPr="006E7307">
        <w:rPr>
          <w:rFonts w:ascii="Calibri" w:eastAsia="Calibri" w:hAnsi="Calibri" w:cs="Calibri"/>
          <w:b/>
          <w:sz w:val="22"/>
          <w:szCs w:val="22"/>
          <w:lang w:eastAsia="en-US"/>
        </w:rPr>
        <w:t xml:space="preserve"> drugi </w:t>
      </w:r>
      <w:bookmarkEnd w:id="3"/>
      <w:r w:rsidRPr="006E7307">
        <w:rPr>
          <w:rFonts w:ascii="Calibri" w:eastAsia="Calibri" w:hAnsi="Calibri" w:cs="Calibri"/>
          <w:b/>
          <w:sz w:val="22"/>
          <w:szCs w:val="22"/>
          <w:lang w:eastAsia="en-US"/>
        </w:rPr>
        <w:t>SIWZ.</w:t>
      </w:r>
    </w:p>
    <w:p w:rsidR="006E7307" w:rsidRPr="006E7307" w:rsidRDefault="006E7307" w:rsidP="006E7307">
      <w:pPr>
        <w:suppressAutoHyphens w:val="0"/>
        <w:spacing w:after="200" w:line="276" w:lineRule="auto"/>
        <w:contextualSpacing/>
        <w:jc w:val="both"/>
        <w:rPr>
          <w:rFonts w:ascii="Calibri" w:eastAsia="Calibri" w:hAnsi="Calibri" w:cs="Calibri"/>
          <w:i/>
          <w:sz w:val="22"/>
          <w:szCs w:val="22"/>
          <w:lang w:eastAsia="en-US"/>
        </w:rPr>
      </w:pPr>
      <w:r w:rsidRPr="006E7307">
        <w:rPr>
          <w:rFonts w:ascii="Calibri" w:eastAsia="Calibri" w:hAnsi="Calibri" w:cs="Calibri"/>
          <w:sz w:val="22"/>
          <w:szCs w:val="22"/>
          <w:lang w:eastAsia="en-US"/>
        </w:rPr>
        <w:t>Zamawiający proszony jest o wykreślenie</w:t>
      </w:r>
      <w:r w:rsidRPr="006E7307">
        <w:rPr>
          <w:rFonts w:ascii="Calibri" w:eastAsia="Calibri" w:hAnsi="Calibri" w:cs="Calibri"/>
          <w:b/>
          <w:sz w:val="22"/>
          <w:szCs w:val="22"/>
          <w:lang w:eastAsia="en-US"/>
        </w:rPr>
        <w:t xml:space="preserve"> </w:t>
      </w:r>
      <w:r w:rsidRPr="006E7307">
        <w:rPr>
          <w:rFonts w:ascii="Calibri" w:eastAsia="Calibri" w:hAnsi="Calibri" w:cs="Calibri"/>
          <w:sz w:val="22"/>
          <w:szCs w:val="22"/>
          <w:lang w:eastAsia="en-US"/>
        </w:rPr>
        <w:t xml:space="preserve">w cz. II pkt 2 </w:t>
      </w:r>
      <w:proofErr w:type="spellStart"/>
      <w:r w:rsidRPr="006E7307">
        <w:rPr>
          <w:rFonts w:ascii="Calibri" w:eastAsia="Calibri" w:hAnsi="Calibri" w:cs="Calibri"/>
          <w:sz w:val="22"/>
          <w:szCs w:val="22"/>
          <w:lang w:eastAsia="en-US"/>
        </w:rPr>
        <w:t>ppkt</w:t>
      </w:r>
      <w:proofErr w:type="spellEnd"/>
      <w:r w:rsidRPr="006E7307">
        <w:rPr>
          <w:rFonts w:ascii="Calibri" w:eastAsia="Calibri" w:hAnsi="Calibri" w:cs="Calibri"/>
          <w:sz w:val="22"/>
          <w:szCs w:val="22"/>
          <w:lang w:eastAsia="en-US"/>
        </w:rPr>
        <w:t xml:space="preserve"> 3 postanowienia zawartego w drugim </w:t>
      </w:r>
      <w:proofErr w:type="spellStart"/>
      <w:r w:rsidRPr="006E7307">
        <w:rPr>
          <w:rFonts w:ascii="Calibri" w:eastAsia="Calibri" w:hAnsi="Calibri" w:cs="Calibri"/>
          <w:sz w:val="22"/>
          <w:szCs w:val="22"/>
          <w:lang w:eastAsia="en-US"/>
        </w:rPr>
        <w:t>tiret</w:t>
      </w:r>
      <w:proofErr w:type="spellEnd"/>
      <w:r w:rsidRPr="006E7307">
        <w:rPr>
          <w:rFonts w:ascii="Calibri" w:eastAsia="Calibri" w:hAnsi="Calibri" w:cs="Calibri"/>
          <w:sz w:val="22"/>
          <w:szCs w:val="22"/>
          <w:lang w:eastAsia="en-US"/>
        </w:rPr>
        <w:t xml:space="preserve"> SIWZ</w:t>
      </w:r>
      <w:r w:rsidRPr="006E7307">
        <w:rPr>
          <w:rFonts w:ascii="Calibri" w:eastAsia="Calibri" w:hAnsi="Calibri" w:cs="Calibri"/>
          <w:b/>
          <w:sz w:val="22"/>
          <w:szCs w:val="22"/>
          <w:lang w:eastAsia="en-US"/>
        </w:rPr>
        <w:t xml:space="preserve"> </w:t>
      </w:r>
      <w:r w:rsidRPr="006E7307">
        <w:rPr>
          <w:rFonts w:ascii="Calibri" w:eastAsia="Calibri" w:hAnsi="Calibri" w:cs="Calibri"/>
          <w:sz w:val="22"/>
          <w:szCs w:val="22"/>
          <w:lang w:eastAsia="en-US"/>
        </w:rPr>
        <w:t xml:space="preserve">w obecnym brzmieniu stanowiącym, że Wykonawca zobowiązany będzie do </w:t>
      </w:r>
      <w:r w:rsidRPr="006E7307">
        <w:rPr>
          <w:rFonts w:ascii="Calibri" w:eastAsia="Calibri" w:hAnsi="Calibri" w:cs="Calibri"/>
          <w:i/>
          <w:sz w:val="22"/>
          <w:szCs w:val="22"/>
          <w:lang w:eastAsia="en-US"/>
        </w:rPr>
        <w:t xml:space="preserve">„udostępnienia pomieszczeń wskazanej przez Zamawiającego osobie trzeciej (odrębnemu wykonawcy) w celu przeprowadzenia robót budowlanych, w szczególności prac instalatorskich i wykończeniowych. Wykonawca obowiązany jest zabezpieczyć sprzęt przed możliwością uszkodzenia na czas wykonywania prac i przekazać Zamawiającemu wszelkie niezbędne instrukcje dotyczące wykonania robót oraz bezpieczeństwa wykonywanych prac i zabezpieczenia sprzętu przed uszkodzeniem”. </w:t>
      </w:r>
    </w:p>
    <w:p w:rsidR="006E7307" w:rsidRPr="006E7307" w:rsidRDefault="006E7307" w:rsidP="006E7307">
      <w:pPr>
        <w:suppressAutoHyphens w:val="0"/>
        <w:spacing w:after="200"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Wymogi instalacyjne dla sprzętu medycznego nie pozwalają na prowadzenie prac budowalnych w pomieszczeniach w których sprzęt ma być zainstalowany i uruchomiony po fizycznym dostarczeniu tego sprzętu w miejsce docelowej instalacji i uruchomienia. Aby Przedmiot Zamówienia mógł zostać właściwie zrealizowany niezbędne jest zachowanie następującej kolejności prac: przeprowadzenie robót budowlanych, przekazanie Wykonawcy pomieszczeń spełniających wymagania instalacyjne sprzętu w terminie możliwym do jego instalacji i uruchomienia i dopiero rozpoczęcie procesu instalacji sprzętu. W trakcie procesu instalacji i uruchomiania sprzętu nie jest możliwe jego zabezpieczenia w celu prowadzenia w pomieszczeniach prac budowalnych. </w:t>
      </w:r>
      <w:bookmarkStart w:id="4" w:name="_Hlk516658433"/>
    </w:p>
    <w:p w:rsidR="006E7307" w:rsidRPr="006E7307" w:rsidRDefault="006E7307" w:rsidP="006E7307">
      <w:pPr>
        <w:numPr>
          <w:ilvl w:val="0"/>
          <w:numId w:val="23"/>
        </w:numPr>
        <w:suppressAutoHyphens w:val="0"/>
        <w:spacing w:line="276" w:lineRule="auto"/>
        <w:ind w:left="0" w:hanging="426"/>
        <w:jc w:val="both"/>
        <w:rPr>
          <w:rFonts w:ascii="Calibri" w:hAnsi="Calibri" w:cs="Calibri"/>
          <w:b/>
          <w:bCs/>
          <w:sz w:val="22"/>
          <w:szCs w:val="22"/>
          <w:lang w:eastAsia="en-US"/>
        </w:rPr>
      </w:pPr>
      <w:r w:rsidRPr="006E7307">
        <w:rPr>
          <w:rFonts w:ascii="Calibri" w:hAnsi="Calibri" w:cs="Calibri"/>
          <w:b/>
          <w:bCs/>
          <w:sz w:val="22"/>
          <w:szCs w:val="22"/>
          <w:lang w:eastAsia="en-US"/>
        </w:rPr>
        <w:t xml:space="preserve">SIWZ - cz. II pkt 2 </w:t>
      </w:r>
      <w:proofErr w:type="spellStart"/>
      <w:r w:rsidRPr="006E7307">
        <w:rPr>
          <w:rFonts w:ascii="Calibri" w:hAnsi="Calibri" w:cs="Calibri"/>
          <w:b/>
          <w:bCs/>
          <w:sz w:val="22"/>
          <w:szCs w:val="22"/>
          <w:lang w:eastAsia="en-US"/>
        </w:rPr>
        <w:t>ppkt</w:t>
      </w:r>
      <w:proofErr w:type="spellEnd"/>
      <w:r w:rsidRPr="006E7307">
        <w:rPr>
          <w:rFonts w:ascii="Calibri" w:hAnsi="Calibri" w:cs="Calibri"/>
          <w:b/>
          <w:bCs/>
          <w:sz w:val="22"/>
          <w:szCs w:val="22"/>
          <w:lang w:eastAsia="en-US"/>
        </w:rPr>
        <w:t xml:space="preserve"> 9</w:t>
      </w:r>
      <w:r w:rsidRPr="006E7307">
        <w:rPr>
          <w:rFonts w:ascii="Calibri" w:hAnsi="Calibri" w:cs="Calibri"/>
          <w:sz w:val="22"/>
          <w:szCs w:val="22"/>
          <w:lang w:eastAsia="en-US"/>
        </w:rPr>
        <w:t xml:space="preserve"> </w:t>
      </w:r>
      <w:r w:rsidRPr="006E7307">
        <w:rPr>
          <w:rFonts w:ascii="Calibri" w:hAnsi="Calibri" w:cs="Calibri"/>
          <w:b/>
          <w:bCs/>
          <w:sz w:val="22"/>
          <w:szCs w:val="22"/>
          <w:lang w:eastAsia="en-US"/>
        </w:rPr>
        <w:t xml:space="preserve">- </w:t>
      </w:r>
      <w:r w:rsidRPr="006E7307">
        <w:rPr>
          <w:rFonts w:ascii="Calibri" w:hAnsi="Calibri" w:cs="Calibri"/>
          <w:b/>
          <w:sz w:val="22"/>
          <w:szCs w:val="22"/>
          <w:lang w:eastAsia="en-US"/>
        </w:rPr>
        <w:t>dot.</w:t>
      </w:r>
      <w:r w:rsidRPr="006E7307">
        <w:rPr>
          <w:rFonts w:ascii="Calibri" w:hAnsi="Calibri" w:cs="Calibri"/>
          <w:b/>
          <w:bCs/>
          <w:sz w:val="22"/>
          <w:szCs w:val="22"/>
          <w:lang w:eastAsia="en-US"/>
        </w:rPr>
        <w:t xml:space="preserve"> </w:t>
      </w:r>
      <w:r w:rsidRPr="006E7307">
        <w:rPr>
          <w:rFonts w:ascii="Calibri" w:hAnsi="Calibri" w:cs="Calibri"/>
          <w:b/>
          <w:sz w:val="22"/>
          <w:szCs w:val="22"/>
          <w:lang w:eastAsia="en-US"/>
        </w:rPr>
        <w:t xml:space="preserve">swobodnego korzystania z zainstalowanego oprogramowania przez Zamawiającego. </w:t>
      </w:r>
    </w:p>
    <w:p w:rsidR="006E7307" w:rsidRPr="006E7307" w:rsidRDefault="006E7307" w:rsidP="006E7307">
      <w:pPr>
        <w:suppressAutoHyphens w:val="0"/>
        <w:spacing w:line="276" w:lineRule="auto"/>
        <w:jc w:val="both"/>
        <w:rPr>
          <w:rFonts w:ascii="Calibri" w:hAnsi="Calibri" w:cs="Calibri"/>
          <w:b/>
          <w:bCs/>
          <w:sz w:val="22"/>
          <w:szCs w:val="22"/>
          <w:lang w:eastAsia="en-US"/>
        </w:rPr>
      </w:pPr>
      <w:r w:rsidRPr="006E7307">
        <w:rPr>
          <w:rFonts w:ascii="Calibri" w:hAnsi="Calibri" w:cs="Calibri"/>
          <w:sz w:val="22"/>
          <w:szCs w:val="22"/>
          <w:lang w:eastAsia="en-US"/>
        </w:rPr>
        <w:t xml:space="preserve">Z uwagi na fakt, że właścicielem wszelkich praw własności intelektualnej związanej z Przedmiotem Zamówienia jest Producent sprzętu, który udziela użytkownikowi końcowemu, którym jest Zamawiającym licencji, zwracamy się do Zamawiającego, aby zmienił treść niniejszego postanowienia w następujący sposób: </w:t>
      </w:r>
    </w:p>
    <w:p w:rsidR="006E7307" w:rsidRPr="006E7307" w:rsidRDefault="006E7307" w:rsidP="006E7307">
      <w:pPr>
        <w:suppressAutoHyphens w:val="0"/>
        <w:spacing w:after="200" w:line="276" w:lineRule="auto"/>
        <w:contextualSpacing/>
        <w:jc w:val="both"/>
        <w:rPr>
          <w:rFonts w:ascii="Calibri" w:eastAsia="Calibri" w:hAnsi="Calibri" w:cs="Calibri"/>
          <w:sz w:val="22"/>
          <w:szCs w:val="22"/>
          <w:lang w:eastAsia="en-US"/>
        </w:rPr>
      </w:pPr>
      <w:r w:rsidRPr="006E7307">
        <w:rPr>
          <w:rFonts w:ascii="Calibri" w:eastAsia="Calibri" w:hAnsi="Calibri" w:cs="Calibri"/>
          <w:i/>
          <w:iCs/>
          <w:sz w:val="22"/>
          <w:szCs w:val="22"/>
          <w:lang w:eastAsia="en-US"/>
        </w:rPr>
        <w:t>„9. Po zakończeniu okresu gwarancyjnego Wykonawca zobowiązuje się do umożliwienia Zamawiającemu swobodnego korzystania z zainstalowanego w sprzęcie oprogramowania w ramach licencji.”</w:t>
      </w:r>
    </w:p>
    <w:p w:rsidR="006E7307" w:rsidRPr="006E7307" w:rsidRDefault="006E7307" w:rsidP="006E7307">
      <w:pPr>
        <w:suppressAutoHyphens w:val="0"/>
        <w:spacing w:after="200" w:line="276" w:lineRule="auto"/>
        <w:contextualSpacing/>
        <w:jc w:val="both"/>
        <w:rPr>
          <w:rFonts w:ascii="Calibri" w:eastAsia="Calibri" w:hAnsi="Calibri" w:cs="Calibri"/>
          <w:sz w:val="22"/>
          <w:szCs w:val="22"/>
          <w:lang w:eastAsia="en-US"/>
        </w:rPr>
      </w:pPr>
    </w:p>
    <w:p w:rsidR="006E7307" w:rsidRPr="006E7307" w:rsidRDefault="006E7307" w:rsidP="006E7307">
      <w:pPr>
        <w:numPr>
          <w:ilvl w:val="0"/>
          <w:numId w:val="23"/>
        </w:numPr>
        <w:suppressAutoHyphens w:val="0"/>
        <w:spacing w:after="200" w:line="276" w:lineRule="auto"/>
        <w:ind w:left="0"/>
        <w:contextualSpacing/>
        <w:jc w:val="both"/>
        <w:rPr>
          <w:rFonts w:ascii="Calibri" w:eastAsia="Calibri" w:hAnsi="Calibri" w:cs="Calibri"/>
          <w:sz w:val="22"/>
          <w:szCs w:val="22"/>
          <w:lang w:eastAsia="en-US"/>
        </w:rPr>
      </w:pPr>
      <w:r w:rsidRPr="006E7307">
        <w:rPr>
          <w:rFonts w:ascii="Calibri" w:eastAsia="Calibri" w:hAnsi="Calibri" w:cs="Calibri"/>
          <w:b/>
          <w:sz w:val="22"/>
          <w:szCs w:val="22"/>
          <w:lang w:eastAsia="en-US"/>
        </w:rPr>
        <w:t xml:space="preserve">SIWZ - cz. II pkt 2 </w:t>
      </w:r>
      <w:proofErr w:type="spellStart"/>
      <w:r w:rsidRPr="006E7307">
        <w:rPr>
          <w:rFonts w:ascii="Calibri" w:eastAsia="Calibri" w:hAnsi="Calibri" w:cs="Calibri"/>
          <w:b/>
          <w:sz w:val="22"/>
          <w:szCs w:val="22"/>
          <w:lang w:eastAsia="en-US"/>
        </w:rPr>
        <w:t>ppkt</w:t>
      </w:r>
      <w:proofErr w:type="spellEnd"/>
      <w:r w:rsidRPr="006E7307">
        <w:rPr>
          <w:rFonts w:ascii="Calibri" w:eastAsia="Calibri" w:hAnsi="Calibri" w:cs="Calibri"/>
          <w:b/>
          <w:sz w:val="22"/>
          <w:szCs w:val="22"/>
          <w:lang w:eastAsia="en-US"/>
        </w:rPr>
        <w:t xml:space="preserve"> 17 </w:t>
      </w:r>
      <w:bookmarkEnd w:id="4"/>
      <w:r w:rsidRPr="006E7307">
        <w:rPr>
          <w:rFonts w:ascii="Calibri" w:eastAsia="Calibri" w:hAnsi="Calibri" w:cs="Calibri"/>
          <w:b/>
          <w:sz w:val="22"/>
          <w:szCs w:val="22"/>
          <w:lang w:eastAsia="en-US"/>
        </w:rPr>
        <w:t xml:space="preserve">w zw. z </w:t>
      </w:r>
      <w:bookmarkStart w:id="5" w:name="_Hlk516658345"/>
      <w:r w:rsidRPr="006E7307">
        <w:rPr>
          <w:rFonts w:ascii="Calibri" w:eastAsia="Calibri" w:hAnsi="Calibri" w:cs="Calibri"/>
          <w:b/>
          <w:sz w:val="22"/>
          <w:szCs w:val="22"/>
          <w:lang w:eastAsia="en-US"/>
        </w:rPr>
        <w:t xml:space="preserve">pkt 2 </w:t>
      </w:r>
      <w:proofErr w:type="spellStart"/>
      <w:r w:rsidRPr="006E7307">
        <w:rPr>
          <w:rFonts w:ascii="Calibri" w:eastAsia="Calibri" w:hAnsi="Calibri" w:cs="Calibri"/>
          <w:b/>
          <w:sz w:val="22"/>
          <w:szCs w:val="22"/>
          <w:lang w:eastAsia="en-US"/>
        </w:rPr>
        <w:t>ppkt</w:t>
      </w:r>
      <w:proofErr w:type="spellEnd"/>
      <w:r w:rsidRPr="006E7307">
        <w:rPr>
          <w:rFonts w:ascii="Calibri" w:eastAsia="Calibri" w:hAnsi="Calibri" w:cs="Calibri"/>
          <w:b/>
          <w:sz w:val="22"/>
          <w:szCs w:val="22"/>
          <w:lang w:eastAsia="en-US"/>
        </w:rPr>
        <w:t xml:space="preserve"> 3 </w:t>
      </w:r>
      <w:proofErr w:type="spellStart"/>
      <w:r w:rsidRPr="006E7307">
        <w:rPr>
          <w:rFonts w:ascii="Calibri" w:eastAsia="Calibri" w:hAnsi="Calibri" w:cs="Calibri"/>
          <w:b/>
          <w:sz w:val="22"/>
          <w:szCs w:val="22"/>
          <w:lang w:eastAsia="en-US"/>
        </w:rPr>
        <w:t>tiret</w:t>
      </w:r>
      <w:proofErr w:type="spellEnd"/>
      <w:r w:rsidRPr="006E7307">
        <w:rPr>
          <w:rFonts w:ascii="Calibri" w:eastAsia="Calibri" w:hAnsi="Calibri" w:cs="Calibri"/>
          <w:b/>
          <w:sz w:val="22"/>
          <w:szCs w:val="22"/>
          <w:lang w:eastAsia="en-US"/>
        </w:rPr>
        <w:t xml:space="preserve"> pierwszy SIWZ </w:t>
      </w:r>
      <w:bookmarkEnd w:id="5"/>
      <w:r w:rsidRPr="006E7307">
        <w:rPr>
          <w:rFonts w:ascii="Calibri" w:eastAsia="Calibri" w:hAnsi="Calibri" w:cs="Calibri"/>
          <w:b/>
          <w:sz w:val="22"/>
          <w:szCs w:val="22"/>
          <w:lang w:eastAsia="en-US"/>
        </w:rPr>
        <w:t>oraz pkt 4 SIWZ.</w:t>
      </w:r>
    </w:p>
    <w:p w:rsidR="006E7307" w:rsidRPr="006E7307" w:rsidRDefault="006E7307" w:rsidP="006E7307">
      <w:pPr>
        <w:suppressAutoHyphens w:val="0"/>
        <w:spacing w:after="200"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Zamawiający proszony jest o wyjaśnienie jaki jest dokładnie zakres obowiązków po stronie Wykonawcy co do uzyskania wymaganych prawem zezwoleń, tj. czy zgodnie z cz. II pkt 2 </w:t>
      </w:r>
      <w:proofErr w:type="spellStart"/>
      <w:r w:rsidRPr="006E7307">
        <w:rPr>
          <w:rFonts w:ascii="Calibri" w:eastAsia="Calibri" w:hAnsi="Calibri" w:cs="Calibri"/>
          <w:sz w:val="22"/>
          <w:szCs w:val="22"/>
          <w:lang w:eastAsia="en-US"/>
        </w:rPr>
        <w:t>ppkt</w:t>
      </w:r>
      <w:proofErr w:type="spellEnd"/>
      <w:r w:rsidRPr="006E7307">
        <w:rPr>
          <w:rFonts w:ascii="Calibri" w:eastAsia="Calibri" w:hAnsi="Calibri" w:cs="Calibri"/>
          <w:sz w:val="22"/>
          <w:szCs w:val="22"/>
          <w:lang w:eastAsia="en-US"/>
        </w:rPr>
        <w:t xml:space="preserve"> 3 </w:t>
      </w:r>
      <w:proofErr w:type="spellStart"/>
      <w:r w:rsidRPr="006E7307">
        <w:rPr>
          <w:rFonts w:ascii="Calibri" w:eastAsia="Calibri" w:hAnsi="Calibri" w:cs="Calibri"/>
          <w:sz w:val="22"/>
          <w:szCs w:val="22"/>
          <w:lang w:eastAsia="en-US"/>
        </w:rPr>
        <w:t>tiret</w:t>
      </w:r>
      <w:proofErr w:type="spellEnd"/>
      <w:r w:rsidRPr="006E7307">
        <w:rPr>
          <w:rFonts w:ascii="Calibri" w:eastAsia="Calibri" w:hAnsi="Calibri" w:cs="Calibri"/>
          <w:sz w:val="22"/>
          <w:szCs w:val="22"/>
          <w:lang w:eastAsia="en-US"/>
        </w:rPr>
        <w:t xml:space="preserve"> pierwszy SIWZ</w:t>
      </w:r>
      <w:r w:rsidRPr="006E7307">
        <w:rPr>
          <w:rFonts w:ascii="Calibri" w:eastAsia="Calibri" w:hAnsi="Calibri" w:cs="Calibri"/>
          <w:b/>
          <w:sz w:val="22"/>
          <w:szCs w:val="22"/>
          <w:lang w:eastAsia="en-US"/>
        </w:rPr>
        <w:t xml:space="preserve"> – </w:t>
      </w:r>
      <w:r w:rsidRPr="006E7307">
        <w:rPr>
          <w:rFonts w:ascii="Calibri" w:eastAsia="Calibri" w:hAnsi="Calibri" w:cs="Calibri"/>
          <w:sz w:val="22"/>
          <w:szCs w:val="22"/>
          <w:lang w:eastAsia="en-US"/>
        </w:rPr>
        <w:t xml:space="preserve">Wykonawca współdziała z Zamawiającym w uzyskaniu wymaganych zezwoleń czy też stosownie do cz. II pkt 2 </w:t>
      </w:r>
      <w:proofErr w:type="spellStart"/>
      <w:r w:rsidRPr="006E7307">
        <w:rPr>
          <w:rFonts w:ascii="Calibri" w:eastAsia="Calibri" w:hAnsi="Calibri" w:cs="Calibri"/>
          <w:sz w:val="22"/>
          <w:szCs w:val="22"/>
          <w:lang w:eastAsia="en-US"/>
        </w:rPr>
        <w:t>ppkt</w:t>
      </w:r>
      <w:proofErr w:type="spellEnd"/>
      <w:r w:rsidRPr="006E7307">
        <w:rPr>
          <w:rFonts w:ascii="Calibri" w:eastAsia="Calibri" w:hAnsi="Calibri" w:cs="Calibri"/>
          <w:sz w:val="22"/>
          <w:szCs w:val="22"/>
          <w:lang w:eastAsia="en-US"/>
        </w:rPr>
        <w:t xml:space="preserve"> 17</w:t>
      </w:r>
      <w:r w:rsidRPr="006E7307">
        <w:rPr>
          <w:rFonts w:ascii="Calibri" w:eastAsia="Calibri" w:hAnsi="Calibri" w:cs="Calibri"/>
          <w:b/>
          <w:sz w:val="22"/>
          <w:szCs w:val="22"/>
          <w:lang w:eastAsia="en-US"/>
        </w:rPr>
        <w:t xml:space="preserve"> </w:t>
      </w:r>
      <w:r w:rsidRPr="006E7307">
        <w:rPr>
          <w:rFonts w:ascii="Calibri" w:eastAsia="Calibri" w:hAnsi="Calibri" w:cs="Calibri"/>
          <w:sz w:val="22"/>
          <w:szCs w:val="22"/>
          <w:lang w:eastAsia="en-US"/>
        </w:rPr>
        <w:t>SIWZ jest zobowiązany do ich uzyskania działając w imieniu Zamawiającego. Dodatkowo w zależności od zakresu tych obowiązków, Zamawiający proszony jest o zweryfikowanie terminu realizacji zamówienia (określonego obecnie na 15-11-2018 r.), tak aby termin realizacji zamówienia był możliwy do dochowania z uwagi na zakres czynności przypisanych Wykonawcy, ich kolejność wykonania i możliwe terminy ich wykonania.</w:t>
      </w:r>
    </w:p>
    <w:p w:rsidR="006E7307" w:rsidRPr="006E7307" w:rsidRDefault="006E7307" w:rsidP="006E7307">
      <w:pPr>
        <w:suppressAutoHyphens w:val="0"/>
        <w:spacing w:after="200" w:line="276" w:lineRule="auto"/>
        <w:contextualSpacing/>
        <w:jc w:val="both"/>
        <w:rPr>
          <w:rFonts w:ascii="Calibri" w:eastAsia="Calibri" w:hAnsi="Calibri" w:cs="Calibri"/>
          <w:sz w:val="22"/>
          <w:szCs w:val="22"/>
          <w:lang w:eastAsia="en-US"/>
        </w:rPr>
      </w:pPr>
    </w:p>
    <w:p w:rsidR="006E7307" w:rsidRPr="006E7307" w:rsidRDefault="006E7307" w:rsidP="006E7307">
      <w:pPr>
        <w:numPr>
          <w:ilvl w:val="0"/>
          <w:numId w:val="23"/>
        </w:numPr>
        <w:suppressAutoHyphens w:val="0"/>
        <w:spacing w:after="200" w:line="276" w:lineRule="auto"/>
        <w:ind w:left="-142"/>
        <w:contextualSpacing/>
        <w:jc w:val="both"/>
        <w:rPr>
          <w:rFonts w:ascii="Calibri" w:eastAsia="Calibri" w:hAnsi="Calibri" w:cs="Calibri"/>
          <w:sz w:val="22"/>
          <w:szCs w:val="22"/>
          <w:lang w:eastAsia="en-US"/>
        </w:rPr>
      </w:pPr>
      <w:r w:rsidRPr="006E7307">
        <w:rPr>
          <w:rFonts w:ascii="Calibri" w:eastAsia="Calibri" w:hAnsi="Calibri" w:cs="Calibri"/>
          <w:b/>
          <w:sz w:val="22"/>
          <w:szCs w:val="22"/>
          <w:lang w:eastAsia="en-US"/>
        </w:rPr>
        <w:t>SIWZ - cz. IV (</w:t>
      </w:r>
      <w:r w:rsidRPr="006E7307">
        <w:rPr>
          <w:rFonts w:ascii="Calibri" w:eastAsia="Calibri" w:hAnsi="Calibri" w:cs="Calibri"/>
          <w:b/>
          <w:i/>
          <w:sz w:val="22"/>
          <w:szCs w:val="22"/>
          <w:lang w:eastAsia="en-US"/>
        </w:rPr>
        <w:t>Opis warunków udziału w postępowaniu</w:t>
      </w:r>
      <w:r w:rsidRPr="006E7307">
        <w:rPr>
          <w:rFonts w:ascii="Calibri" w:eastAsia="Calibri" w:hAnsi="Calibri" w:cs="Calibri"/>
          <w:b/>
          <w:sz w:val="22"/>
          <w:szCs w:val="22"/>
          <w:lang w:eastAsia="en-US"/>
        </w:rPr>
        <w:t xml:space="preserve">) pkt 1 </w:t>
      </w:r>
      <w:proofErr w:type="spellStart"/>
      <w:r w:rsidRPr="006E7307">
        <w:rPr>
          <w:rFonts w:ascii="Calibri" w:eastAsia="Calibri" w:hAnsi="Calibri" w:cs="Calibri"/>
          <w:b/>
          <w:sz w:val="22"/>
          <w:szCs w:val="22"/>
          <w:lang w:eastAsia="en-US"/>
        </w:rPr>
        <w:t>ppkt</w:t>
      </w:r>
      <w:proofErr w:type="spellEnd"/>
      <w:r w:rsidRPr="006E7307">
        <w:rPr>
          <w:rFonts w:ascii="Calibri" w:eastAsia="Calibri" w:hAnsi="Calibri" w:cs="Calibri"/>
          <w:b/>
          <w:sz w:val="22"/>
          <w:szCs w:val="22"/>
          <w:lang w:eastAsia="en-US"/>
        </w:rPr>
        <w:t xml:space="preserve"> 2 lit a).</w:t>
      </w:r>
    </w:p>
    <w:p w:rsidR="006E7307" w:rsidRPr="006E7307" w:rsidRDefault="006E7307" w:rsidP="006E7307">
      <w:pPr>
        <w:suppressAutoHyphens w:val="0"/>
        <w:spacing w:after="200" w:line="276" w:lineRule="auto"/>
        <w:ind w:left="-142"/>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Zamawiający wśród warunków, które muszą spełnić Wykonawcy ubiegający się o udzielenie zamówienia wymaga od Wykonawcy </w:t>
      </w:r>
      <w:r w:rsidRPr="006E7307">
        <w:rPr>
          <w:rFonts w:ascii="Calibri" w:hAnsi="Calibri" w:cs="Calibri"/>
          <w:bCs/>
          <w:sz w:val="22"/>
          <w:szCs w:val="22"/>
          <w:lang w:eastAsia="pl-PL"/>
        </w:rPr>
        <w:t>posiadania „</w:t>
      </w:r>
      <w:r w:rsidRPr="006E7307">
        <w:rPr>
          <w:rFonts w:ascii="Calibri" w:hAnsi="Calibri" w:cs="Calibri"/>
          <w:bCs/>
          <w:i/>
          <w:sz w:val="22"/>
          <w:szCs w:val="22"/>
          <w:lang w:eastAsia="pl-PL"/>
        </w:rPr>
        <w:t xml:space="preserve">zezwolenia Prezesa Państwowej Agencji Atomistyki na wykonywanie działalności o której mowa w art. 4 ust 1  pkt 1,4, Ustawy Prawo Atomowe, polegającej na: </w:t>
      </w:r>
      <w:r w:rsidRPr="006E7307">
        <w:rPr>
          <w:rFonts w:ascii="Calibri" w:hAnsi="Calibri" w:cs="Calibri"/>
          <w:bCs/>
          <w:i/>
          <w:sz w:val="22"/>
          <w:szCs w:val="22"/>
          <w:u w:val="single"/>
          <w:lang w:eastAsia="pl-PL"/>
        </w:rPr>
        <w:t>przechowywaniu, transporcie</w:t>
      </w:r>
      <w:r w:rsidRPr="006E7307">
        <w:rPr>
          <w:rFonts w:ascii="Calibri" w:hAnsi="Calibri" w:cs="Calibri"/>
          <w:bCs/>
          <w:i/>
          <w:sz w:val="22"/>
          <w:szCs w:val="22"/>
          <w:lang w:eastAsia="pl-PL"/>
        </w:rPr>
        <w:t xml:space="preserve">, źródeł promieniotwórczych i obrocie tymi źródłami, instalowaniu urządzeń zawierających źródła promieniotwórcze oraz obrocie tymi urządzeniami – w przypadku składania oferty w zakresie pakietu I”. </w:t>
      </w:r>
    </w:p>
    <w:p w:rsidR="006E7307" w:rsidRPr="006E7307" w:rsidRDefault="006E7307" w:rsidP="006E7307">
      <w:pPr>
        <w:suppressAutoHyphens w:val="0"/>
        <w:spacing w:after="200" w:line="276" w:lineRule="auto"/>
        <w:ind w:left="-142"/>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Zamawiający proszony jest o rezygnacje z wymogu dot. przechowywania oraz transportu źródeł promieniotwórczych. Przedmiotem zamówienia jest dostawa wraz z instalacją i uruchomieniem sprzętu medycznego. Czynności polegające na przechowywaniu i transporcie źródeł są czynnościami jedynie służącymi wykonaniu zamówienia tzw. czynnościami </w:t>
      </w:r>
      <w:r w:rsidRPr="006E7307">
        <w:rPr>
          <w:rFonts w:ascii="Calibri" w:eastAsia="Calibri" w:hAnsi="Calibri" w:cs="Calibri"/>
          <w:sz w:val="22"/>
          <w:szCs w:val="22"/>
          <w:lang w:eastAsia="en-US"/>
        </w:rPr>
        <w:lastRenderedPageBreak/>
        <w:t>pomocniczymi, które co do zasady Wykonawca zleca wysoko wyspecjalizowanym podmiotom (podwykonawcom) posiadającym wymagane powszechnie obowiązującymi przepisami prawa zezwolenia oraz sprzęt. Nałożenie więc na Wykonawcę obowiązku posiadania zezwolenia PAA w zakresie czynności stanowiących czynności pomocnicze narusza zasadę uczciwej konkurencji, bowiem wymóg ten nie jest związany z głównym przedmiotem zamówienia.</w:t>
      </w:r>
    </w:p>
    <w:p w:rsidR="006E7307" w:rsidRPr="006E7307" w:rsidRDefault="006E7307" w:rsidP="006E7307">
      <w:pPr>
        <w:suppressAutoHyphens w:val="0"/>
        <w:spacing w:after="200" w:line="276" w:lineRule="auto"/>
        <w:ind w:left="-360"/>
        <w:contextualSpacing/>
        <w:jc w:val="both"/>
        <w:rPr>
          <w:rFonts w:ascii="Calibri" w:eastAsia="Calibri" w:hAnsi="Calibri" w:cs="Calibri"/>
          <w:sz w:val="22"/>
          <w:szCs w:val="22"/>
          <w:lang w:eastAsia="en-US"/>
        </w:rPr>
      </w:pPr>
    </w:p>
    <w:p w:rsidR="006E7307" w:rsidRPr="006E7307" w:rsidRDefault="006E7307" w:rsidP="006E7307">
      <w:pPr>
        <w:numPr>
          <w:ilvl w:val="0"/>
          <w:numId w:val="23"/>
        </w:numPr>
        <w:suppressAutoHyphens w:val="0"/>
        <w:spacing w:after="200" w:line="276" w:lineRule="auto"/>
        <w:ind w:left="0"/>
        <w:contextualSpacing/>
        <w:jc w:val="both"/>
        <w:rPr>
          <w:rFonts w:ascii="Calibri" w:eastAsia="Calibri" w:hAnsi="Calibri" w:cs="Calibri"/>
          <w:sz w:val="22"/>
          <w:szCs w:val="22"/>
          <w:lang w:eastAsia="en-US"/>
        </w:rPr>
      </w:pPr>
      <w:r w:rsidRPr="006E7307">
        <w:rPr>
          <w:rFonts w:ascii="Calibri" w:eastAsia="Calibri" w:hAnsi="Calibri" w:cs="Calibri"/>
          <w:b/>
          <w:sz w:val="22"/>
          <w:szCs w:val="22"/>
          <w:lang w:eastAsia="en-US"/>
        </w:rPr>
        <w:t>SIWZ - cz. XV (</w:t>
      </w:r>
      <w:r w:rsidRPr="006E7307">
        <w:rPr>
          <w:rFonts w:ascii="Calibri" w:eastAsia="Calibri" w:hAnsi="Calibri" w:cs="Calibri"/>
          <w:b/>
          <w:i/>
          <w:sz w:val="22"/>
          <w:szCs w:val="22"/>
          <w:lang w:eastAsia="en-US"/>
        </w:rPr>
        <w:t>Wymagania dotyczące zabezpieczenia należytego wykonania umowy</w:t>
      </w:r>
      <w:r w:rsidRPr="006E7307">
        <w:rPr>
          <w:rFonts w:ascii="Calibri" w:eastAsia="Calibri" w:hAnsi="Calibri" w:cs="Calibri"/>
          <w:b/>
          <w:sz w:val="22"/>
          <w:szCs w:val="22"/>
          <w:lang w:eastAsia="en-US"/>
        </w:rPr>
        <w:t>) pkt 6 i 10.</w:t>
      </w:r>
    </w:p>
    <w:p w:rsidR="006E7307" w:rsidRPr="006E7307" w:rsidRDefault="006E7307" w:rsidP="006E7307">
      <w:pPr>
        <w:suppressAutoHyphens w:val="0"/>
        <w:spacing w:after="200" w:line="276" w:lineRule="auto"/>
        <w:contextualSpacing/>
        <w:jc w:val="both"/>
        <w:rPr>
          <w:rFonts w:ascii="Calibri" w:eastAsia="Calibri" w:hAnsi="Calibri" w:cs="Calibri"/>
          <w:sz w:val="22"/>
          <w:szCs w:val="22"/>
          <w:lang w:eastAsia="en-US"/>
        </w:rPr>
      </w:pPr>
      <w:bookmarkStart w:id="6" w:name="_Hlk516660543"/>
      <w:r w:rsidRPr="006E7307">
        <w:rPr>
          <w:rFonts w:ascii="Calibri" w:eastAsia="Calibri" w:hAnsi="Calibri" w:cs="Calibri"/>
          <w:sz w:val="22"/>
          <w:szCs w:val="22"/>
          <w:lang w:eastAsia="en-US"/>
        </w:rPr>
        <w:t>Zamawiający proszony jest dostosowanie treści niniejszego postanowienia do zakresu Przedmiotu Zamówienia, którym jest dostawa wraz z instalacją i uruchomieniem sprzętu medycznego a nie wykonanie robót budowlanych</w:t>
      </w:r>
      <w:bookmarkEnd w:id="6"/>
      <w:r w:rsidRPr="006E7307">
        <w:rPr>
          <w:rFonts w:ascii="Calibri" w:eastAsia="Calibri" w:hAnsi="Calibri" w:cs="Calibri"/>
          <w:sz w:val="22"/>
          <w:szCs w:val="22"/>
          <w:lang w:eastAsia="en-US"/>
        </w:rPr>
        <w:t>.</w:t>
      </w: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SIWZ –  rozdział IV pkt. 2 „wykaz oświadczeń i dokumentów …” w zakresie JEDZ podwykonawców.</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 xml:space="preserve">Prosimy Zamawiającego o potwierdzenie, iż względem podwykonawców, na zasobach których wykonawca nie polega – wykonawca składa zgodnie z SIWZ jednolity dokument JEDZ w imieniu własnym z zamieszeniem informacji o tych podwykonawcach w części II sekcji D „informacje dotyczące podwykonawców, na których zdolności wykonawca nie polega” (ESPD)? </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 załącznik 9 „umowa -wzór” § 2 ust. 2 pkt 4) - szkolenia.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Czy Zamawiający może doprecyzować użyte sformułowanie: „</w:t>
      </w:r>
      <w:r w:rsidRPr="006E7307">
        <w:rPr>
          <w:rFonts w:ascii="Calibri" w:hAnsi="Calibri" w:cs="Calibri"/>
          <w:i/>
          <w:iCs/>
          <w:sz w:val="22"/>
          <w:szCs w:val="22"/>
          <w:lang w:eastAsia="en-US"/>
        </w:rPr>
        <w:t>w tym zapewnienie stałego wsparcia personelu po przeprowadzeniu szkoleń</w:t>
      </w:r>
      <w:r w:rsidRPr="006E7307">
        <w:rPr>
          <w:rFonts w:ascii="Calibri" w:hAnsi="Calibri" w:cs="Calibri"/>
          <w:sz w:val="22"/>
          <w:szCs w:val="22"/>
          <w:lang w:eastAsia="en-US"/>
        </w:rPr>
        <w:t>” poprzez dodanie na końcu wyrażenia: „</w:t>
      </w:r>
      <w:r w:rsidRPr="006E7307">
        <w:rPr>
          <w:rFonts w:ascii="Calibri" w:hAnsi="Calibri" w:cs="Calibri"/>
          <w:i/>
          <w:iCs/>
          <w:sz w:val="22"/>
          <w:szCs w:val="22"/>
          <w:lang w:eastAsia="en-US"/>
        </w:rPr>
        <w:t>jak określono w § 9 ust.7 Umowy</w:t>
      </w:r>
      <w:r w:rsidRPr="006E7307">
        <w:rPr>
          <w:rFonts w:ascii="Calibri" w:hAnsi="Calibri" w:cs="Calibri"/>
          <w:sz w:val="22"/>
          <w:szCs w:val="22"/>
          <w:lang w:eastAsia="en-US"/>
        </w:rPr>
        <w:t>”?</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 załącznik 9 „umowa -wzór” § 2 ust. 3.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Zwracamy się do Zamawiającego, aby w treści niniejszego postanowienia dodał następującą treść na końcu zdania: „</w:t>
      </w:r>
      <w:r w:rsidRPr="006E7307">
        <w:rPr>
          <w:rFonts w:ascii="Calibri" w:hAnsi="Calibri" w:cs="Calibri"/>
          <w:i/>
          <w:sz w:val="22"/>
          <w:szCs w:val="22"/>
          <w:lang w:eastAsia="en-US"/>
        </w:rPr>
        <w:t>spełniających wymagania instalacyjne sprzętu stanowiącego przedmiot zamówienia</w:t>
      </w:r>
      <w:r w:rsidRPr="006E7307">
        <w:rPr>
          <w:rFonts w:ascii="Calibri" w:hAnsi="Calibri" w:cs="Calibri"/>
          <w:sz w:val="22"/>
          <w:szCs w:val="22"/>
          <w:lang w:eastAsia="en-US"/>
        </w:rPr>
        <w:t>”.</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 załącznik 9 „umowa -wzór” § 3 ust. 1.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Zamawiający proszony jest o wykreślenie ust. 1 w § 3 Umowy. Wykonawca zobowiązany jest do instalacji aparatury medycznej wyłącznie zgodnie z wytycznymi jej producenta. Instalując i uruchamiając aparaturę medyczną Wykonawca nie może kierować się wytycznymi Generalnego Wykonawcy będącego przedsiębiorstwem budowalnym nie posiadającym żadnej wiedzy ani też uprawnień w zakresie instalacji urządzeń wytwarzających promieniowanie jonizujące.</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 załącznik 9 „umowa -wzór” § 5 ust. 4.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Wnosimy o wykreślenie z treści zawartej w nawiasie treści w brzmieniu: „</w:t>
      </w:r>
      <w:r w:rsidRPr="006E7307">
        <w:rPr>
          <w:rFonts w:ascii="Calibri" w:hAnsi="Calibri" w:cs="Calibri"/>
          <w:i/>
          <w:sz w:val="22"/>
          <w:szCs w:val="22"/>
          <w:lang w:eastAsia="en-US"/>
        </w:rPr>
        <w:t>i osobiste”</w:t>
      </w:r>
      <w:r w:rsidRPr="006E7307">
        <w:rPr>
          <w:rFonts w:ascii="Calibri" w:hAnsi="Calibri" w:cs="Calibri"/>
          <w:sz w:val="22"/>
          <w:szCs w:val="22"/>
          <w:lang w:eastAsia="en-US"/>
        </w:rPr>
        <w:t xml:space="preserve"> gdyż osobiste prawa są niezbywalne i zawsze pozostaje przy twórcy. Autor dzieła może się nie ujawniać, ale wciąż zachowuje przy sobie osobiste prawa autorskie.</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 załącznik 9 „umowa -wzór” § 5 ust. 2 zaczynający się od treści „Projekt należy wykonać zgodnie” pkt 2. </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r w:rsidRPr="006E7307">
        <w:rPr>
          <w:rFonts w:ascii="Calibri" w:hAnsi="Calibri" w:cs="Calibri"/>
          <w:sz w:val="22"/>
          <w:szCs w:val="22"/>
          <w:lang w:eastAsia="en-US"/>
        </w:rPr>
        <w:t xml:space="preserve">Zwracamy uwagę na fakt, iż zamawiający nie udostępnił załącznika wymienionego w lit. f) tj. </w:t>
      </w:r>
      <w:proofErr w:type="spellStart"/>
      <w:r w:rsidRPr="006E7307">
        <w:rPr>
          <w:rFonts w:ascii="Calibri" w:hAnsi="Calibri" w:cs="Calibri"/>
          <w:sz w:val="22"/>
          <w:szCs w:val="22"/>
          <w:lang w:eastAsia="en-US"/>
        </w:rPr>
        <w:t>STWiOR</w:t>
      </w:r>
      <w:proofErr w:type="spellEnd"/>
      <w:r w:rsidRPr="006E7307">
        <w:rPr>
          <w:rFonts w:ascii="Calibri" w:hAnsi="Calibri" w:cs="Calibri"/>
          <w:sz w:val="22"/>
          <w:szCs w:val="22"/>
          <w:lang w:eastAsia="en-US"/>
        </w:rPr>
        <w:t xml:space="preserve"> opracowana dla budowy SOO, w związku z czym należy ten punkt usunąć z treści umowy. Zwracamy również uwagę na błędną numerację zapisów § 5.</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b/>
          <w:sz w:val="22"/>
          <w:szCs w:val="22"/>
          <w:lang w:eastAsia="en-US"/>
        </w:rPr>
      </w:pPr>
      <w:r w:rsidRPr="006E7307">
        <w:rPr>
          <w:rFonts w:ascii="Calibri" w:hAnsi="Calibri" w:cs="Calibri"/>
          <w:b/>
          <w:sz w:val="22"/>
          <w:szCs w:val="22"/>
          <w:lang w:eastAsia="en-US"/>
        </w:rPr>
        <w:t xml:space="preserve">SIWZ – załącznik 9 „umowa -wzór” 5 ust. 3 zaczynający się od treści </w:t>
      </w:r>
      <w:r w:rsidRPr="006E7307">
        <w:rPr>
          <w:rFonts w:ascii="Calibri" w:hAnsi="Calibri" w:cs="Calibri"/>
          <w:b/>
          <w:i/>
          <w:sz w:val="22"/>
          <w:szCs w:val="22"/>
          <w:lang w:eastAsia="en-US"/>
        </w:rPr>
        <w:t>Wykonawca zobowiązany jest:</w:t>
      </w:r>
      <w:r w:rsidRPr="006E7307">
        <w:rPr>
          <w:rFonts w:ascii="Calibri" w:hAnsi="Calibri" w:cs="Calibri"/>
          <w:b/>
          <w:sz w:val="22"/>
          <w:szCs w:val="22"/>
          <w:lang w:eastAsia="en-US"/>
        </w:rPr>
        <w:t xml:space="preserve"> </w:t>
      </w:r>
      <w:proofErr w:type="spellStart"/>
      <w:r w:rsidRPr="006E7307">
        <w:rPr>
          <w:rFonts w:ascii="Calibri" w:hAnsi="Calibri" w:cs="Calibri"/>
          <w:b/>
          <w:sz w:val="22"/>
          <w:szCs w:val="22"/>
          <w:lang w:eastAsia="en-US"/>
        </w:rPr>
        <w:t>ppkt</w:t>
      </w:r>
      <w:proofErr w:type="spellEnd"/>
      <w:r w:rsidRPr="006E7307">
        <w:rPr>
          <w:rFonts w:ascii="Calibri" w:hAnsi="Calibri" w:cs="Calibri"/>
          <w:b/>
          <w:sz w:val="22"/>
          <w:szCs w:val="22"/>
          <w:lang w:eastAsia="en-US"/>
        </w:rPr>
        <w:t xml:space="preserve"> 2 Umowy</w:t>
      </w:r>
      <w:r w:rsidRPr="006E7307">
        <w:rPr>
          <w:rFonts w:ascii="Calibri" w:hAnsi="Calibri" w:cs="Calibri"/>
          <w:sz w:val="22"/>
          <w:szCs w:val="22"/>
          <w:lang w:eastAsia="en-US"/>
        </w:rPr>
        <w:t>.</w:t>
      </w:r>
    </w:p>
    <w:p w:rsidR="006E7307" w:rsidRPr="006E7307" w:rsidRDefault="006E7307" w:rsidP="006E7307">
      <w:pPr>
        <w:suppressAutoHyphens w:val="0"/>
        <w:spacing w:line="276" w:lineRule="auto"/>
        <w:contextualSpacing/>
        <w:jc w:val="both"/>
        <w:rPr>
          <w:rFonts w:ascii="Calibri" w:hAnsi="Calibri" w:cs="Calibri"/>
          <w:b/>
          <w:sz w:val="22"/>
          <w:szCs w:val="22"/>
          <w:lang w:eastAsia="en-US"/>
        </w:rPr>
      </w:pPr>
      <w:r w:rsidRPr="006E7307">
        <w:rPr>
          <w:rFonts w:ascii="Calibri" w:hAnsi="Calibri" w:cs="Calibri"/>
          <w:sz w:val="22"/>
          <w:szCs w:val="22"/>
          <w:lang w:eastAsia="en-US"/>
        </w:rPr>
        <w:t>W związku z treścią nakładającą na Wykonawcę obowiązek: uzyskania „</w:t>
      </w:r>
      <w:r w:rsidRPr="006E7307">
        <w:rPr>
          <w:rFonts w:ascii="Calibri" w:hAnsi="Calibri" w:cs="Calibri"/>
          <w:i/>
          <w:sz w:val="22"/>
          <w:szCs w:val="22"/>
          <w:lang w:eastAsia="en-US"/>
        </w:rPr>
        <w:t>wszystkich uzgodnień wymaganych przepisami prawa, opinii i zatwierdzeń, jeśli zajdzie taka potrzeba</w:t>
      </w:r>
      <w:r w:rsidRPr="006E7307">
        <w:rPr>
          <w:rFonts w:ascii="Calibri" w:hAnsi="Calibri" w:cs="Calibri"/>
          <w:sz w:val="22"/>
          <w:szCs w:val="22"/>
          <w:lang w:eastAsia="en-US"/>
        </w:rPr>
        <w:t>” - Zamawiający proszony jest o wskazanie o jakie opinie i zatwierdzenia mu chodzi w stosunku do dokumentacji stanowiącej przedmiot regulacji § 5 to jest wykonawczej dokumentacji technicznej w zakresie wykończenia i przygotowania pracowni do montażu przedmiotu zamówienia (cz. II pkt 2 lit. b SIWZ)</w:t>
      </w:r>
      <w:r w:rsidRPr="006E7307">
        <w:rPr>
          <w:rFonts w:ascii="Calibri" w:hAnsi="Calibri" w:cs="Calibri"/>
          <w:b/>
          <w:sz w:val="22"/>
          <w:szCs w:val="22"/>
          <w:lang w:eastAsia="en-US"/>
        </w:rPr>
        <w:t>.</w:t>
      </w:r>
    </w:p>
    <w:p w:rsidR="006E7307" w:rsidRPr="006E7307" w:rsidRDefault="006E7307" w:rsidP="006E7307">
      <w:pPr>
        <w:suppressAutoHyphens w:val="0"/>
        <w:spacing w:line="276" w:lineRule="auto"/>
        <w:contextualSpacing/>
        <w:jc w:val="both"/>
        <w:rPr>
          <w:rFonts w:ascii="Calibri" w:hAnsi="Calibri" w:cs="Calibri"/>
          <w:b/>
          <w:sz w:val="22"/>
          <w:szCs w:val="22"/>
          <w:lang w:eastAsia="en-US"/>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 załącznik 9 „umowa -wzór” § 5 ust. 7.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W odniesieniu do tego ustępu Zamawiający proszony jest o to, aby wykreślił treść w nawiasie w brzmieniu: „</w:t>
      </w:r>
      <w:r w:rsidRPr="006E7307">
        <w:rPr>
          <w:rFonts w:ascii="Calibri" w:hAnsi="Calibri" w:cs="Calibri"/>
          <w:i/>
          <w:sz w:val="22"/>
          <w:szCs w:val="22"/>
          <w:lang w:eastAsia="en-US"/>
        </w:rPr>
        <w:t>(zrzeka się ich)</w:t>
      </w:r>
      <w:r w:rsidRPr="006E7307">
        <w:rPr>
          <w:rFonts w:ascii="Calibri" w:hAnsi="Calibri" w:cs="Calibri"/>
          <w:sz w:val="22"/>
          <w:szCs w:val="22"/>
          <w:lang w:eastAsia="en-US"/>
        </w:rPr>
        <w:t>” ponieważ zgodnie z treścią art. 16 ustawy o prawie autorskim (Dz. U. z 2017 r. poz. 880, 1089, z 2018 r. poz. 650.) prawa autorskie osobiste są niezbywalne.</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b/>
          <w:sz w:val="22"/>
          <w:szCs w:val="22"/>
          <w:lang w:eastAsia="en-US"/>
        </w:rPr>
      </w:pPr>
      <w:r w:rsidRPr="006E7307">
        <w:rPr>
          <w:rFonts w:ascii="Calibri" w:hAnsi="Calibri" w:cs="Calibri"/>
          <w:b/>
          <w:sz w:val="22"/>
          <w:szCs w:val="22"/>
          <w:lang w:eastAsia="en-US"/>
        </w:rPr>
        <w:t>SIWZ – załącznik 9 „umowa -wzór” § 6 ust. 3.</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 xml:space="preserve">Zamawiający proszony jest o doprecyzowanie o zakup jakiej licencji oraz magazynu chodzi. Obecna treść nie określa w sposób dość wyczerpujący zakresu zamówienia co pozostaje w sprzeczności z norma art. 29 ust. 1 </w:t>
      </w:r>
      <w:proofErr w:type="spellStart"/>
      <w:r w:rsidRPr="006E7307">
        <w:rPr>
          <w:rFonts w:ascii="Calibri" w:hAnsi="Calibri" w:cs="Calibri"/>
          <w:sz w:val="22"/>
          <w:szCs w:val="22"/>
          <w:lang w:eastAsia="en-US"/>
        </w:rPr>
        <w:t>Pzp</w:t>
      </w:r>
      <w:proofErr w:type="spellEnd"/>
      <w:r w:rsidRPr="006E7307">
        <w:rPr>
          <w:rFonts w:ascii="Calibri" w:hAnsi="Calibri" w:cs="Calibri"/>
          <w:sz w:val="22"/>
          <w:szCs w:val="22"/>
          <w:lang w:eastAsia="en-US"/>
        </w:rPr>
        <w:t xml:space="preserve"> i uniemożliwia Wykonawcy sporządzenie oferty.</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b/>
          <w:sz w:val="22"/>
          <w:szCs w:val="22"/>
          <w:lang w:eastAsia="en-US"/>
        </w:rPr>
      </w:pPr>
      <w:r w:rsidRPr="006E7307">
        <w:rPr>
          <w:rFonts w:ascii="Calibri" w:hAnsi="Calibri" w:cs="Calibri"/>
          <w:b/>
          <w:sz w:val="22"/>
          <w:szCs w:val="22"/>
          <w:lang w:eastAsia="en-US"/>
        </w:rPr>
        <w:t>SIWZ – załącznik 9 „umowa -wzór” § 6 ust. 6 i 8.</w:t>
      </w:r>
    </w:p>
    <w:p w:rsidR="006E7307" w:rsidRPr="006E7307" w:rsidRDefault="006E7307" w:rsidP="006E7307">
      <w:pPr>
        <w:suppressAutoHyphens w:val="0"/>
        <w:spacing w:after="200"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Zamawiający proszony jest o potwierdzenie, że w postanowieniach § 6 ust 6 oraz 8 chodzi o testy odbiorcze (akceptacyjne) przed pierwszym użyciem sprzętu medycznego do zastosowań klinicznych. Dodatkowo, że testy te wykonywane są w stosunku do sprzętu, dla którego producent wymaga ich wykonania.</w:t>
      </w:r>
    </w:p>
    <w:p w:rsidR="006E7307" w:rsidRPr="006E7307" w:rsidRDefault="006E7307" w:rsidP="006E7307">
      <w:pPr>
        <w:numPr>
          <w:ilvl w:val="0"/>
          <w:numId w:val="23"/>
        </w:numPr>
        <w:suppressAutoHyphens w:val="0"/>
        <w:spacing w:line="276" w:lineRule="auto"/>
        <w:ind w:left="0"/>
        <w:contextualSpacing/>
        <w:jc w:val="both"/>
        <w:rPr>
          <w:rFonts w:ascii="Calibri" w:hAnsi="Calibri" w:cs="Calibri"/>
          <w:b/>
          <w:sz w:val="22"/>
          <w:szCs w:val="22"/>
          <w:lang w:eastAsia="en-US"/>
        </w:rPr>
      </w:pPr>
      <w:r w:rsidRPr="006E7307">
        <w:rPr>
          <w:rFonts w:ascii="Calibri" w:hAnsi="Calibri" w:cs="Calibri"/>
          <w:b/>
          <w:sz w:val="22"/>
          <w:szCs w:val="22"/>
          <w:lang w:eastAsia="en-US"/>
        </w:rPr>
        <w:t>SIWZ – załącznik 9 „umowa -wzór” § 7 ust. 3 oraz 3 (powtórzony nr ust. 3).</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r w:rsidRPr="006E7307">
        <w:rPr>
          <w:rFonts w:ascii="Calibri" w:hAnsi="Calibri" w:cs="Calibri"/>
          <w:sz w:val="22"/>
          <w:szCs w:val="22"/>
          <w:lang w:eastAsia="pl-PL"/>
        </w:rPr>
        <w:t>Z uwago na ograniczony czas realizacji przedmiotu zamówienia zwracamy się z prośbą o zmianę treści zapisów umowy na następującą:</w:t>
      </w:r>
    </w:p>
    <w:p w:rsidR="006E7307" w:rsidRPr="006E7307" w:rsidRDefault="006E7307" w:rsidP="006E7307">
      <w:pPr>
        <w:suppressAutoHyphens w:val="0"/>
        <w:autoSpaceDE w:val="0"/>
        <w:autoSpaceDN w:val="0"/>
        <w:adjustRightInd w:val="0"/>
        <w:spacing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„3. </w:t>
      </w:r>
      <w:bookmarkStart w:id="7" w:name="_Hlk503707630"/>
      <w:r w:rsidRPr="006E7307">
        <w:rPr>
          <w:rFonts w:ascii="Calibri" w:eastAsia="Calibri" w:hAnsi="Calibri" w:cs="Calibri"/>
          <w:sz w:val="22"/>
          <w:szCs w:val="22"/>
          <w:lang w:eastAsia="en-US"/>
        </w:rPr>
        <w:t xml:space="preserve">W dniu odbioru </w:t>
      </w:r>
      <w:proofErr w:type="spellStart"/>
      <w:r w:rsidRPr="006E7307">
        <w:rPr>
          <w:rFonts w:ascii="Calibri" w:eastAsia="Calibri" w:hAnsi="Calibri" w:cs="Calibri"/>
          <w:sz w:val="22"/>
          <w:szCs w:val="22"/>
          <w:lang w:eastAsia="en-US"/>
        </w:rPr>
        <w:t>odbioru</w:t>
      </w:r>
      <w:proofErr w:type="spellEnd"/>
      <w:r w:rsidRPr="006E7307">
        <w:rPr>
          <w:rFonts w:ascii="Calibri" w:eastAsia="Calibri" w:hAnsi="Calibri" w:cs="Calibri"/>
          <w:sz w:val="22"/>
          <w:szCs w:val="22"/>
          <w:lang w:eastAsia="en-US"/>
        </w:rPr>
        <w:t xml:space="preserve"> ostatniego elementu wyposażenia i aparatury medycznej, Wykonawca winien przedłożyć Zamawiającemu następujące dokumenty: </w:t>
      </w:r>
    </w:p>
    <w:p w:rsidR="006E7307" w:rsidRPr="006E7307" w:rsidRDefault="006E7307" w:rsidP="006E7307">
      <w:pPr>
        <w:suppressAutoHyphens w:val="0"/>
        <w:autoSpaceDE w:val="0"/>
        <w:autoSpaceDN w:val="0"/>
        <w:adjustRightInd w:val="0"/>
        <w:spacing w:line="276" w:lineRule="auto"/>
        <w:ind w:left="708"/>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1) wyniki testów odbiorczych wykonanych po uruchomieniu poszczególnych elementów wyposażenia i aparatury medycznej, </w:t>
      </w:r>
    </w:p>
    <w:p w:rsidR="006E7307" w:rsidRPr="006E7307" w:rsidRDefault="006E7307" w:rsidP="006E7307">
      <w:pPr>
        <w:suppressAutoHyphens w:val="0"/>
        <w:autoSpaceDE w:val="0"/>
        <w:autoSpaceDN w:val="0"/>
        <w:adjustRightInd w:val="0"/>
        <w:spacing w:line="276" w:lineRule="auto"/>
        <w:ind w:left="708"/>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2) komplet dokumentacji wymaganej przepisami prawa do prawidłowego użytkowania poszczególnych elementów wyposażenia i aparatury medycznej, </w:t>
      </w:r>
    </w:p>
    <w:p w:rsidR="006E7307" w:rsidRPr="006E7307" w:rsidRDefault="006E7307" w:rsidP="006E7307">
      <w:pPr>
        <w:suppressAutoHyphens w:val="0"/>
        <w:autoSpaceDE w:val="0"/>
        <w:autoSpaceDN w:val="0"/>
        <w:adjustRightInd w:val="0"/>
        <w:spacing w:line="276" w:lineRule="auto"/>
        <w:ind w:left="708"/>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3) dokumentację techniczną poszczególnych elementów wyposażenia i aparatury medycznej w wersji elektronicznej, skróconą wersję instrukcji obsługi i BHP w formie zalaminowanej (jeżeli Wykonawca posiada), </w:t>
      </w:r>
    </w:p>
    <w:p w:rsidR="006E7307" w:rsidRPr="006E7307" w:rsidRDefault="006E7307" w:rsidP="006E7307">
      <w:pPr>
        <w:suppressAutoHyphens w:val="0"/>
        <w:autoSpaceDE w:val="0"/>
        <w:autoSpaceDN w:val="0"/>
        <w:adjustRightInd w:val="0"/>
        <w:spacing w:line="276" w:lineRule="auto"/>
        <w:ind w:left="708"/>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4) wykaz czynności serwisowych, które mogą być wykonywane przez użytkownika samodzielnie nieskutkujące utratą gwarancji,</w:t>
      </w:r>
    </w:p>
    <w:p w:rsidR="006E7307" w:rsidRPr="006E7307" w:rsidRDefault="006E7307" w:rsidP="006E7307">
      <w:pPr>
        <w:suppressAutoHyphens w:val="0"/>
        <w:autoSpaceDE w:val="0"/>
        <w:autoSpaceDN w:val="0"/>
        <w:adjustRightInd w:val="0"/>
        <w:spacing w:line="276" w:lineRule="auto"/>
        <w:ind w:left="708"/>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5) paszporty techniczne, zawierające co najmniej takie dane jak: nazwa, typ (model), producent, rok produkcji, numer seryjny (fabryczny), inne istotne informacje (np. części składowe, istotne wyposażenie, oprogramowanie), </w:t>
      </w:r>
    </w:p>
    <w:p w:rsidR="006E7307" w:rsidRPr="006E7307" w:rsidRDefault="006E7307" w:rsidP="006E7307">
      <w:pPr>
        <w:suppressAutoHyphens w:val="0"/>
        <w:autoSpaceDE w:val="0"/>
        <w:autoSpaceDN w:val="0"/>
        <w:adjustRightInd w:val="0"/>
        <w:spacing w:line="276" w:lineRule="auto"/>
        <w:ind w:firstLine="708"/>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6) karty gwarancyjne</w:t>
      </w:r>
    </w:p>
    <w:p w:rsidR="006E7307" w:rsidRPr="006E7307" w:rsidRDefault="006E7307" w:rsidP="006E7307">
      <w:pPr>
        <w:suppressAutoHyphens w:val="0"/>
        <w:autoSpaceDE w:val="0"/>
        <w:autoSpaceDN w:val="0"/>
        <w:adjustRightInd w:val="0"/>
        <w:spacing w:line="276" w:lineRule="auto"/>
        <w:ind w:left="708"/>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7) wykaz autoryzowanych punktów serwisowych na terenie Polski oraz wykaz dostawców specjalnych części zamiennych, części zużywalnych lub materiałów eksploatacyjnych, których stosowanie wymagane jest dla prawidłowego i bezpiecznego działania poszczególnych elementów wyposażenia i aparatury medycznej,                                                                                                                                                              </w:t>
      </w:r>
    </w:p>
    <w:bookmarkEnd w:id="7"/>
    <w:p w:rsidR="006E7307" w:rsidRPr="006E7307" w:rsidRDefault="006E7307" w:rsidP="006E7307">
      <w:pPr>
        <w:suppressAutoHyphens w:val="0"/>
        <w:autoSpaceDE w:val="0"/>
        <w:autoSpaceDN w:val="0"/>
        <w:adjustRightInd w:val="0"/>
        <w:spacing w:line="276" w:lineRule="auto"/>
        <w:ind w:firstLine="708"/>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8) licencje do zainstalowanego oprogramowania,</w:t>
      </w:r>
    </w:p>
    <w:p w:rsidR="006E7307" w:rsidRPr="006E7307" w:rsidRDefault="006E7307" w:rsidP="006E7307">
      <w:pPr>
        <w:suppressAutoHyphens w:val="0"/>
        <w:autoSpaceDE w:val="0"/>
        <w:autoSpaceDN w:val="0"/>
        <w:adjustRightInd w:val="0"/>
        <w:spacing w:line="276" w:lineRule="auto"/>
        <w:ind w:left="708"/>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9) wszelkie niezbędne hasła dostępowe do poszczególnych elementów wyposażenia i aparatury medycznej, pozwalające na samodzielną konfigurację w zakresie sieci LAN, konfiguracji </w:t>
      </w:r>
      <w:proofErr w:type="spellStart"/>
      <w:r w:rsidRPr="006E7307">
        <w:rPr>
          <w:rFonts w:ascii="Calibri" w:eastAsia="Calibri" w:hAnsi="Calibri" w:cs="Calibri"/>
          <w:sz w:val="22"/>
          <w:szCs w:val="22"/>
          <w:lang w:eastAsia="en-US"/>
        </w:rPr>
        <w:t>worklist</w:t>
      </w:r>
      <w:proofErr w:type="spellEnd"/>
      <w:r w:rsidRPr="006E7307">
        <w:rPr>
          <w:rFonts w:ascii="Calibri" w:eastAsia="Calibri" w:hAnsi="Calibri" w:cs="Calibri"/>
          <w:sz w:val="22"/>
          <w:szCs w:val="22"/>
          <w:lang w:eastAsia="en-US"/>
        </w:rPr>
        <w:t xml:space="preserve"> oraz </w:t>
      </w:r>
      <w:proofErr w:type="spellStart"/>
      <w:r w:rsidRPr="006E7307">
        <w:rPr>
          <w:rFonts w:ascii="Calibri" w:eastAsia="Calibri" w:hAnsi="Calibri" w:cs="Calibri"/>
          <w:sz w:val="22"/>
          <w:szCs w:val="22"/>
          <w:lang w:eastAsia="en-US"/>
        </w:rPr>
        <w:t>store</w:t>
      </w:r>
      <w:proofErr w:type="spellEnd"/>
      <w:r w:rsidRPr="006E7307">
        <w:rPr>
          <w:rFonts w:ascii="Calibri" w:eastAsia="Calibri" w:hAnsi="Calibri" w:cs="Calibri"/>
          <w:sz w:val="22"/>
          <w:szCs w:val="22"/>
          <w:lang w:eastAsia="en-US"/>
        </w:rPr>
        <w:t>,</w:t>
      </w:r>
    </w:p>
    <w:p w:rsidR="006E7307" w:rsidRPr="006E7307" w:rsidRDefault="006E7307" w:rsidP="006E7307">
      <w:pPr>
        <w:suppressAutoHyphens w:val="0"/>
        <w:autoSpaceDE w:val="0"/>
        <w:autoSpaceDN w:val="0"/>
        <w:adjustRightInd w:val="0"/>
        <w:spacing w:line="276" w:lineRule="auto"/>
        <w:ind w:firstLine="708"/>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10) wszelkie niezbędne do prawidłowej pracy elementów dostawy akcesoria,</w:t>
      </w:r>
    </w:p>
    <w:p w:rsidR="006E7307" w:rsidRPr="006E7307" w:rsidRDefault="006E7307" w:rsidP="006E7307">
      <w:pPr>
        <w:suppressAutoHyphens w:val="0"/>
        <w:autoSpaceDE w:val="0"/>
        <w:autoSpaceDN w:val="0"/>
        <w:adjustRightInd w:val="0"/>
        <w:spacing w:line="276" w:lineRule="auto"/>
        <w:ind w:left="708"/>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11) instrukcje obsługi i konserwacji zamontowanych elementów dostawy, w języku polskim w wersji papierowej (3 egzemplarze) i w wersji elektronicznej, </w:t>
      </w:r>
    </w:p>
    <w:p w:rsidR="006E7307" w:rsidRPr="006E7307" w:rsidRDefault="006E7307" w:rsidP="006E7307">
      <w:pPr>
        <w:suppressAutoHyphens w:val="0"/>
        <w:autoSpaceDE w:val="0"/>
        <w:autoSpaceDN w:val="0"/>
        <w:adjustRightInd w:val="0"/>
        <w:spacing w:line="276" w:lineRule="auto"/>
        <w:contextualSpacing/>
        <w:jc w:val="both"/>
        <w:rPr>
          <w:rFonts w:ascii="Calibri" w:eastAsia="Calibri" w:hAnsi="Calibri" w:cs="Calibri"/>
          <w:sz w:val="22"/>
          <w:szCs w:val="22"/>
          <w:lang w:eastAsia="pl-PL"/>
        </w:rPr>
      </w:pPr>
      <w:r w:rsidRPr="006E7307">
        <w:rPr>
          <w:rFonts w:ascii="Calibri" w:eastAsia="Calibri" w:hAnsi="Calibri" w:cs="Calibri"/>
          <w:sz w:val="22"/>
          <w:szCs w:val="22"/>
          <w:lang w:eastAsia="en-US"/>
        </w:rPr>
        <w:t xml:space="preserve">4. Odbiory powinny być przygotowane przez Wykonawcę z należytą starannością. Zamawiający wyznaczy datę odbioru i przystąpi do wykonywania czynności odbiorowych najpóźniej w ostatnim dniu terminu wskazanego w § 13 pkt 1 umowy.” </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contextualSpacing/>
        <w:jc w:val="both"/>
        <w:rPr>
          <w:rFonts w:ascii="Calibri" w:eastAsia="Calibri" w:hAnsi="Calibri" w:cs="Calibri"/>
          <w:b/>
          <w:sz w:val="22"/>
          <w:szCs w:val="22"/>
          <w:lang w:eastAsia="en-US"/>
        </w:rPr>
      </w:pPr>
      <w:r w:rsidRPr="006E7307">
        <w:rPr>
          <w:rFonts w:ascii="Calibri" w:eastAsia="Calibri" w:hAnsi="Calibri" w:cs="Calibri"/>
          <w:b/>
          <w:sz w:val="22"/>
          <w:szCs w:val="22"/>
          <w:lang w:eastAsia="en-US"/>
        </w:rPr>
        <w:t xml:space="preserve">Załącznik nr 9 do SIWZ – Wzór umowy § 7 ust. 9. </w:t>
      </w:r>
    </w:p>
    <w:p w:rsidR="006E7307" w:rsidRPr="006E7307" w:rsidRDefault="006E7307" w:rsidP="006E7307">
      <w:pPr>
        <w:suppressAutoHyphens w:val="0"/>
        <w:spacing w:after="200"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Zgodnie z §7 ust. 9 wzoru umowy, „</w:t>
      </w:r>
      <w:r w:rsidRPr="006E7307">
        <w:rPr>
          <w:rFonts w:ascii="Calibri" w:hAnsi="Calibri" w:cs="Calibri"/>
          <w:i/>
          <w:sz w:val="22"/>
          <w:szCs w:val="22"/>
          <w:lang w:eastAsia="en-US"/>
        </w:rPr>
        <w:t>Wykonawca zobowiązany będzie do usunięcia stwierdzonych w trakcie odbioru wad (zawartych w Protokole usterek) w terminie uzgodnionym przez Strony (nie dłuższym jednak niż 1 (jeden) tydzień) z zastrzeżeniem, iż po upływie tego terminu Zamawiający będzie mógł odstąpić od umowy niezależnie od istotności wad lub zażądać stosownego obniżenia wynagrodzenia”</w:t>
      </w:r>
      <w:r w:rsidRPr="006E7307">
        <w:rPr>
          <w:rFonts w:ascii="Calibri" w:hAnsi="Calibri" w:cs="Calibri"/>
          <w:sz w:val="22"/>
          <w:szCs w:val="22"/>
          <w:lang w:eastAsia="en-US"/>
        </w:rPr>
        <w:t>.</w:t>
      </w:r>
    </w:p>
    <w:p w:rsidR="006E7307" w:rsidRPr="006E7307" w:rsidRDefault="006E7307" w:rsidP="006E7307">
      <w:pPr>
        <w:suppressAutoHyphens w:val="0"/>
        <w:spacing w:after="200"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Wnosimy o zmianę ww. postanowień umowy poprzez zastąpienie ich zapisami o następującej treści: „</w:t>
      </w:r>
      <w:r w:rsidRPr="006E7307">
        <w:rPr>
          <w:rFonts w:ascii="Calibri" w:hAnsi="Calibri" w:cs="Calibri"/>
          <w:i/>
          <w:sz w:val="22"/>
          <w:szCs w:val="22"/>
          <w:lang w:eastAsia="en-US"/>
        </w:rPr>
        <w:t>Wykonawca zobowiązany będzie do usunięcia stwierdzonych w trakcie odbioru wad (zawartych w Protokole usterek) w terminie nie dłuższym niż 1 (jeden) tydzień)”.</w:t>
      </w:r>
    </w:p>
    <w:p w:rsidR="006E7307" w:rsidRPr="006E7307" w:rsidRDefault="006E7307" w:rsidP="006E7307">
      <w:pPr>
        <w:suppressAutoHyphens w:val="0"/>
        <w:spacing w:after="200"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 xml:space="preserve">Zważyć należy, że możliwość odstąpienia od umowy w wypadku jakiegokolwiek przekroczenia terminu usunięcia wad stwierdzonych w trakcie odbioru jest uprawnieniem zdecydowaniem nadmiernym w kontekście charakteru umowy i stopnia złożoności przedmiotu zamówienia. Za nieuprawnione i nadmierne uprawnienie należy ponadto uznać możliwość odstąpienia przez Zamawiającego od umowy niezależnie od istotności stwierdzonych wad. Tego typu sformułowanie stoi w sprzeczności z regulacjami kodeksowymi (art. 560 §4 </w:t>
      </w:r>
      <w:proofErr w:type="spellStart"/>
      <w:r w:rsidRPr="006E7307">
        <w:rPr>
          <w:rFonts w:ascii="Calibri" w:hAnsi="Calibri" w:cs="Calibri"/>
          <w:sz w:val="22"/>
          <w:szCs w:val="22"/>
          <w:lang w:eastAsia="en-US"/>
        </w:rPr>
        <w:t>kc</w:t>
      </w:r>
      <w:proofErr w:type="spellEnd"/>
      <w:r w:rsidRPr="006E7307">
        <w:rPr>
          <w:rFonts w:ascii="Calibri" w:hAnsi="Calibri" w:cs="Calibri"/>
          <w:sz w:val="22"/>
          <w:szCs w:val="22"/>
          <w:lang w:eastAsia="en-US"/>
        </w:rPr>
        <w:t xml:space="preserve"> w zw. z art. 638 §1 </w:t>
      </w:r>
      <w:proofErr w:type="spellStart"/>
      <w:r w:rsidRPr="006E7307">
        <w:rPr>
          <w:rFonts w:ascii="Calibri" w:hAnsi="Calibri" w:cs="Calibri"/>
          <w:sz w:val="22"/>
          <w:szCs w:val="22"/>
          <w:lang w:eastAsia="en-US"/>
        </w:rPr>
        <w:t>kc</w:t>
      </w:r>
      <w:proofErr w:type="spellEnd"/>
      <w:r w:rsidRPr="006E7307">
        <w:rPr>
          <w:rFonts w:ascii="Calibri" w:hAnsi="Calibri" w:cs="Calibri"/>
          <w:sz w:val="22"/>
          <w:szCs w:val="22"/>
          <w:lang w:eastAsia="en-US"/>
        </w:rPr>
        <w:t xml:space="preserve">) oraz z ugruntowanym orzecznictwem w tym przedmiocie. </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SIWZ – załącznik 9 „umowa -wzór” § 8 ust. 2 lit. c).</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 uwagi na fakt, iż szkolenia realizowane będą w terminach ustalonych przez strony na piśmie zgodnie z § 13 pkt 3) umowy i szkolenia te będą realizowane również w okresie trwania gwarancji (m.in. poz. 281-283 za zakładki „</w:t>
      </w:r>
      <w:proofErr w:type="spellStart"/>
      <w:r w:rsidRPr="006E7307">
        <w:rPr>
          <w:rFonts w:ascii="Calibri" w:hAnsi="Calibri" w:cs="Calibri"/>
          <w:sz w:val="22"/>
          <w:szCs w:val="22"/>
          <w:lang w:eastAsia="en-US"/>
        </w:rPr>
        <w:t>Teleradioterapia</w:t>
      </w:r>
      <w:proofErr w:type="spellEnd"/>
      <w:r w:rsidRPr="006E7307">
        <w:rPr>
          <w:rFonts w:ascii="Calibri" w:hAnsi="Calibri" w:cs="Calibri"/>
          <w:sz w:val="22"/>
          <w:szCs w:val="22"/>
          <w:lang w:eastAsia="en-US"/>
        </w:rPr>
        <w:t>”, oraz poz. 333 „Brachyterapia” złącznika nr 1 do SIWZ), która to gwarancja rozpocznie swój bieg dopiero po „odbiorze końcowym” prosimy o wykreślenie z § 8 ust. 2 zapisu lit. c) dotyczącego odbioru z przeszkolenia personelu medycznego i technicznego przy odbiorze końcowym. Obecne brzmienie zapisu umowy § 8 ust. 2 lit. c) stanowi oczywistą sprzeczność zapisów umowy z wymaganiami technicznymi zawartymi w załączniku nr 1 do SIWZ.</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en-US"/>
        </w:rPr>
      </w:pPr>
      <w:r w:rsidRPr="006E7307">
        <w:rPr>
          <w:rFonts w:ascii="Calibri" w:hAnsi="Calibri" w:cs="Calibri"/>
          <w:b/>
          <w:sz w:val="22"/>
          <w:szCs w:val="22"/>
          <w:lang w:eastAsia="en-US"/>
        </w:rPr>
        <w:t xml:space="preserve">SIWZ – załącznik 9 „umowa -wzór” </w:t>
      </w:r>
      <w:bookmarkStart w:id="8" w:name="_Hlk516666318"/>
      <w:r w:rsidRPr="006E7307">
        <w:rPr>
          <w:rFonts w:ascii="Calibri" w:hAnsi="Calibri" w:cs="Calibri"/>
          <w:b/>
          <w:sz w:val="22"/>
          <w:szCs w:val="22"/>
          <w:lang w:eastAsia="en-US"/>
        </w:rPr>
        <w:t>§ 8 ust. 3 pkt 3</w:t>
      </w:r>
      <w:bookmarkEnd w:id="8"/>
      <w:r w:rsidRPr="006E7307">
        <w:rPr>
          <w:rFonts w:ascii="Calibri" w:hAnsi="Calibri" w:cs="Calibri"/>
          <w:b/>
          <w:sz w:val="22"/>
          <w:szCs w:val="22"/>
          <w:lang w:eastAsia="en-US"/>
        </w:rPr>
        <w:t xml:space="preserve">. </w:t>
      </w:r>
    </w:p>
    <w:p w:rsidR="006E7307" w:rsidRPr="006E7307" w:rsidRDefault="006E7307" w:rsidP="006E7307">
      <w:pPr>
        <w:suppressAutoHyphens w:val="0"/>
        <w:spacing w:line="276" w:lineRule="auto"/>
        <w:contextualSpacing/>
        <w:jc w:val="both"/>
        <w:rPr>
          <w:rFonts w:ascii="Calibri" w:hAnsi="Calibri" w:cs="Calibri"/>
          <w:sz w:val="22"/>
          <w:szCs w:val="22"/>
          <w:lang w:val="en-GB" w:eastAsia="en-US"/>
        </w:rPr>
      </w:pPr>
      <w:r w:rsidRPr="006E7307">
        <w:rPr>
          <w:rFonts w:ascii="Calibri" w:hAnsi="Calibri" w:cs="Calibri"/>
          <w:sz w:val="22"/>
          <w:szCs w:val="22"/>
          <w:lang w:eastAsia="en-US"/>
        </w:rPr>
        <w:t xml:space="preserve">Zamawiający proszony jest o potwierdzenie, że pomieszczenia, w których ma nastąpić instalacja i uruchomienie sprzętu medycznego stanowiącego przedmiot zamówienia, z momentem ich przekazania Wykonawcy, spełniać będą wymagania instalacyjne tego sprzętu określone przez jego producentów oraz wykończone będą zgodnie z dokumentacją techniczną, o której mowa w cz. </w:t>
      </w:r>
      <w:r w:rsidRPr="006E7307">
        <w:rPr>
          <w:rFonts w:ascii="Calibri" w:hAnsi="Calibri" w:cs="Calibri"/>
          <w:sz w:val="22"/>
          <w:szCs w:val="22"/>
          <w:lang w:val="en-GB" w:eastAsia="en-US"/>
        </w:rPr>
        <w:t xml:space="preserve">II </w:t>
      </w:r>
      <w:proofErr w:type="spellStart"/>
      <w:r w:rsidRPr="006E7307">
        <w:rPr>
          <w:rFonts w:ascii="Calibri" w:hAnsi="Calibri" w:cs="Calibri"/>
          <w:sz w:val="22"/>
          <w:szCs w:val="22"/>
          <w:lang w:val="en-GB" w:eastAsia="en-US"/>
        </w:rPr>
        <w:t>pkt</w:t>
      </w:r>
      <w:proofErr w:type="spellEnd"/>
      <w:r w:rsidRPr="006E7307">
        <w:rPr>
          <w:rFonts w:ascii="Calibri" w:hAnsi="Calibri" w:cs="Calibri"/>
          <w:sz w:val="22"/>
          <w:szCs w:val="22"/>
          <w:lang w:val="en-GB" w:eastAsia="en-US"/>
        </w:rPr>
        <w:t xml:space="preserve"> 2 lit. b) SIWZ, a </w:t>
      </w:r>
      <w:proofErr w:type="spellStart"/>
      <w:r w:rsidRPr="006E7307">
        <w:rPr>
          <w:rFonts w:ascii="Calibri" w:hAnsi="Calibri" w:cs="Calibri"/>
          <w:sz w:val="22"/>
          <w:szCs w:val="22"/>
          <w:lang w:val="en-GB" w:eastAsia="en-US"/>
        </w:rPr>
        <w:t>wykonanie</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prac</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wykończeniowych</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nie</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stanowi</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przedmiotu</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niniejszego</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zamówienia</w:t>
      </w:r>
      <w:proofErr w:type="spellEnd"/>
      <w:r w:rsidRPr="006E7307">
        <w:rPr>
          <w:rFonts w:ascii="Calibri" w:hAnsi="Calibri" w:cs="Calibri"/>
          <w:sz w:val="22"/>
          <w:szCs w:val="22"/>
          <w:lang w:val="en-GB" w:eastAsia="en-US"/>
        </w:rPr>
        <w:t xml:space="preserve">.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W związku z powyższym Zamawiający proszony jest o wykreślenie § 8 ust. 3 pkt 3 Umowy.</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 załącznik 9 „umowa -wzór” § 9 ust. 2 - szkolenia.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 uwagi na fakt, iż szkolenia wyszczególnione w załączniku nr 1 do SIWZ „oferta techniczna” przewidują m. in. szkolenia na terenie UE w ośrodkach referencyjnych, a więc nie w miejscu dostawy, prosimy o zmianę i zapisu § 9 ust. 2 w następującym brzmieniu:</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 xml:space="preserve">„Szkolenia opisane w § 9, zostaną przeprowadzone w terminach wskazanych w § 13 pkt 3 umowy.” </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SIWZ – załącznik 9 „umowa -wzór” § 9 ust. 7 pkt 2 lit. b).</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Zgodnie z zapisem § 10 ust. 7 pkt 2 lit b) na żądanie Zamawiającego, Wykonawca zobowiązany jest do dodatkowego przeszkolenia personelu technicznego w zakresie m. in pozwalającym na wykonanie czynności konserwacyjnych, naprawczych i przeglądowych - prosimy Zamawiającego o potwierdzenie, że szkolenia w części dot. czynności naprawczych i przeglądowych obejmować mają zakres czynności naprawczych i przeglądowych przewidzianych przez producenta urządzenia do wykonywania przez użytkownika urządzenia.</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SIWZ – załącznik 9 „umowa -wzór” § 9 ust. 7 pkt 2.</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Zgodnie z art. 29 ust. 1 ustawy Prawo zamówień publicznych, które nakłada na Zamawiającego obowiązek opisania przedmiotu zamówienia w sposób jednoznaczny i wyczerpujący uwzględniając wszystkie wymagania i okoliczności mogące mieć wpływ na sporządzenie oferty prosimy o określenie:</w:t>
      </w:r>
    </w:p>
    <w:p w:rsidR="006E7307" w:rsidRPr="006E7307" w:rsidRDefault="006E7307" w:rsidP="006E7307">
      <w:pPr>
        <w:numPr>
          <w:ilvl w:val="2"/>
          <w:numId w:val="24"/>
        </w:numPr>
        <w:tabs>
          <w:tab w:val="left" w:pos="284"/>
        </w:tabs>
        <w:suppressAutoHyphens w:val="0"/>
        <w:spacing w:line="276" w:lineRule="auto"/>
        <w:ind w:left="284" w:hanging="284"/>
        <w:contextualSpacing/>
        <w:rPr>
          <w:rFonts w:ascii="Calibri" w:hAnsi="Calibri" w:cs="Calibri"/>
          <w:sz w:val="22"/>
          <w:szCs w:val="22"/>
          <w:lang w:eastAsia="en-US"/>
        </w:rPr>
      </w:pPr>
      <w:r w:rsidRPr="006E7307">
        <w:rPr>
          <w:rFonts w:ascii="Calibri" w:hAnsi="Calibri" w:cs="Calibri"/>
          <w:sz w:val="22"/>
          <w:szCs w:val="22"/>
          <w:lang w:eastAsia="en-US"/>
        </w:rPr>
        <w:t xml:space="preserve">oczekiwanej maksymalnej liczby dodatkowych szkoleń w miejscu instalacji, do których zorganizowania Wykonawca będzie zobowiązany na żądanie Zamawiającego w okresie gwarancji? </w:t>
      </w:r>
    </w:p>
    <w:p w:rsidR="006E7307" w:rsidRPr="006E7307" w:rsidRDefault="006E7307" w:rsidP="006E7307">
      <w:pPr>
        <w:tabs>
          <w:tab w:val="left" w:pos="142"/>
        </w:tabs>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oraz</w:t>
      </w:r>
    </w:p>
    <w:p w:rsidR="006E7307" w:rsidRPr="006E7307" w:rsidRDefault="006E7307" w:rsidP="006E7307">
      <w:pPr>
        <w:numPr>
          <w:ilvl w:val="2"/>
          <w:numId w:val="24"/>
        </w:numPr>
        <w:tabs>
          <w:tab w:val="left" w:pos="284"/>
        </w:tabs>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oczekiwany maksymalny termin realizacji dodatkowych szkoleń ‘na żądanie Zamawiającego’ od chwili powiadomienia Wykonawcy?</w:t>
      </w:r>
    </w:p>
    <w:p w:rsidR="006E7307" w:rsidRPr="006E7307" w:rsidRDefault="006E7307" w:rsidP="006E7307">
      <w:pPr>
        <w:tabs>
          <w:tab w:val="left" w:pos="284"/>
        </w:tabs>
        <w:suppressAutoHyphens w:val="0"/>
        <w:spacing w:line="276" w:lineRule="auto"/>
        <w:ind w:left="180"/>
        <w:contextualSpacing/>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SIWZ – załącznik 9 „umowa -wzór” § 10 ust.  1 -3 - oprogramowanie.</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Zamawiający proszony jest o potwierdzenie, iż za spełnienie wymogów określonych w przywołanych ustępach 1-3 § 10 Zamawiający uzna udzielenie Zamawiającemu licencji do oprogramowana przez producenta sprzętu/oprogramowania na warunkach i zasadach określonych w treści licencji producenta.</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SIWZ – załącznik 9 „umowa -wzór” § 10 ust.  2 zdanie drugie - oprogramowanie.</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r w:rsidRPr="006E7307">
        <w:rPr>
          <w:rFonts w:ascii="Calibri" w:hAnsi="Calibri" w:cs="Calibri"/>
          <w:sz w:val="22"/>
          <w:szCs w:val="22"/>
          <w:lang w:eastAsia="en-US"/>
        </w:rPr>
        <w:t>Wnosimy o wykreślenie tego postanowienia z uwagi na to, że prawa autorskie zostają przy producencie, który udziela licencji na korzystanie z oprogramowania, użytkownikowi końcowemu, którym jest Zamawiający, na różnych polach eksploatacji jak wskazane w treści licencji.</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 załącznik 9 „umowa -wzór” § 12 ust. 3 - oprogramowanie.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 xml:space="preserve">Zgodnie z art. 29 ust. 1 ustawy Prawo zamówień publicznych, które nakłada na Zamawiającego obowiązek opisania przedmiotu zamówienia w sposób jednoznaczny i wyczerpujący uwzględniając wszystkie wymagania i okoliczności mogące mieć wpływ na sporządzenie oferty, a także z uwagi na złożoność przedmiotu zamówienia będący w znacznej części wyrobami medycznymi, prosimy o potwierdzenie, iż Zamawiający opisując obowiązki dotyczące aktualizacji oprogramowania w § 12 ust. 3 pkt 1)-2) umowy miał na myśli aktualizacje oprogramowania </w:t>
      </w:r>
      <w:r w:rsidRPr="006E7307">
        <w:rPr>
          <w:rFonts w:ascii="Calibri" w:hAnsi="Calibri" w:cs="Calibri"/>
          <w:sz w:val="22"/>
          <w:szCs w:val="22"/>
          <w:u w:val="single"/>
          <w:lang w:eastAsia="en-US"/>
        </w:rPr>
        <w:t>w zakresie wymaganym przez producenta urządzenia</w:t>
      </w:r>
      <w:r w:rsidRPr="006E7307">
        <w:rPr>
          <w:rFonts w:ascii="Calibri" w:hAnsi="Calibri" w:cs="Calibri"/>
          <w:sz w:val="22"/>
          <w:szCs w:val="22"/>
          <w:lang w:eastAsia="en-US"/>
        </w:rPr>
        <w:t>. W razie potwierdzenia powyższej informacji prosimy o zmianę brzmienia zapisu § 12 ust. 3 umowy na następujące:</w:t>
      </w:r>
    </w:p>
    <w:p w:rsidR="006E7307" w:rsidRPr="006E7307" w:rsidRDefault="006E7307" w:rsidP="006E7307">
      <w:pPr>
        <w:suppressAutoHyphens w:val="0"/>
        <w:autoSpaceDE w:val="0"/>
        <w:autoSpaceDN w:val="0"/>
        <w:adjustRightInd w:val="0"/>
        <w:spacing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„Wykonawca będzie zobowiązany do: </w:t>
      </w:r>
    </w:p>
    <w:p w:rsidR="006E7307" w:rsidRPr="006E7307" w:rsidRDefault="006E7307" w:rsidP="006E7307">
      <w:pPr>
        <w:suppressAutoHyphens w:val="0"/>
        <w:autoSpaceDE w:val="0"/>
        <w:autoSpaceDN w:val="0"/>
        <w:adjustRightInd w:val="0"/>
        <w:spacing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1) dokonania aktualizacji oprogramowania </w:t>
      </w:r>
      <w:r w:rsidRPr="006E7307">
        <w:rPr>
          <w:rFonts w:ascii="Calibri" w:eastAsia="Calibri" w:hAnsi="Calibri" w:cs="Calibri"/>
          <w:sz w:val="22"/>
          <w:szCs w:val="22"/>
          <w:u w:val="single"/>
          <w:lang w:eastAsia="en-US"/>
        </w:rPr>
        <w:t>wymaganych przez producenta</w:t>
      </w:r>
      <w:r w:rsidRPr="006E7307">
        <w:rPr>
          <w:rFonts w:ascii="Calibri" w:eastAsia="Calibri" w:hAnsi="Calibri" w:cs="Calibri"/>
          <w:sz w:val="22"/>
          <w:szCs w:val="22"/>
          <w:lang w:eastAsia="en-US"/>
        </w:rPr>
        <w:t xml:space="preserve"> poszczególnych elementów wyposażenia i aparatury medycznej – w ramach uruchomienia oraz </w:t>
      </w:r>
    </w:p>
    <w:p w:rsidR="006E7307" w:rsidRPr="006E7307" w:rsidRDefault="006E7307" w:rsidP="006E7307">
      <w:pPr>
        <w:suppressAutoHyphens w:val="0"/>
        <w:autoSpaceDE w:val="0"/>
        <w:autoSpaceDN w:val="0"/>
        <w:adjustRightInd w:val="0"/>
        <w:spacing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2) dokonywania bieżącej aktualizacji oprogramowania </w:t>
      </w:r>
      <w:r w:rsidRPr="006E7307">
        <w:rPr>
          <w:rFonts w:ascii="Calibri" w:eastAsia="Calibri" w:hAnsi="Calibri" w:cs="Calibri"/>
          <w:sz w:val="22"/>
          <w:szCs w:val="22"/>
          <w:u w:val="single"/>
          <w:lang w:eastAsia="en-US"/>
        </w:rPr>
        <w:t>wymaganych przez producenta</w:t>
      </w:r>
      <w:r w:rsidRPr="006E7307">
        <w:rPr>
          <w:rFonts w:ascii="Calibri" w:eastAsia="Calibri" w:hAnsi="Calibri" w:cs="Calibri"/>
          <w:sz w:val="22"/>
          <w:szCs w:val="22"/>
          <w:lang w:eastAsia="en-US"/>
        </w:rPr>
        <w:t xml:space="preserve"> poszczególnych elementów wyposażenia i aparatury medycznej – w okresie obowiązujących gwarancji.” </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 załącznik 9 „umowa -wzór” § 14 ust. 1.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W związku z faktem, iż umowy na realizację Pakietu I oraz Pakietu II zawarte zostaną z odrębnymi wykonawcami, prosimy Zamawiającego o potwierdzenie, iż wynagrodzenie w ramach poszczególnych pakietów będzie płatne jednorazowo po realizacji całego przedmiotu umowy obejmującego dany Pakiet.</w:t>
      </w: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 załącznik 9 „umowa -wzór” § 15 ust. 1. </w:t>
      </w:r>
    </w:p>
    <w:p w:rsidR="006E7307" w:rsidRPr="006E7307" w:rsidRDefault="006E7307" w:rsidP="006E7307">
      <w:pPr>
        <w:suppressAutoHyphens w:val="0"/>
        <w:autoSpaceDE w:val="0"/>
        <w:autoSpaceDN w:val="0"/>
        <w:adjustRightInd w:val="0"/>
        <w:spacing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Z uwagi na fakt, iż minimalny okres gwarancji np. na aparat do znieczulania wynosi 12 miesięcy zgodnie z załącznikiem nr 1 do SIWZ – zaistniała rozbieżność pomiędzy zapisami załącznika nr 1 a zapisami umowy oraz załącznika nr 1.1 „warunki gwarancji i serwisu”. W związku z powyższym prosimy o modyfikację zapisu umowy § 15 ust. 1 na następujący: </w:t>
      </w:r>
    </w:p>
    <w:p w:rsidR="006E7307" w:rsidRPr="006E7307" w:rsidRDefault="006E7307" w:rsidP="006E7307">
      <w:pPr>
        <w:suppressAutoHyphens w:val="0"/>
        <w:autoSpaceDE w:val="0"/>
        <w:autoSpaceDN w:val="0"/>
        <w:adjustRightInd w:val="0"/>
        <w:spacing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lastRenderedPageBreak/>
        <w:t xml:space="preserve">„Wykonawca udziela Zamawiającemu na poszczególne elementy wyposażenia i aparatury gwarancji na okresy zgodnie z załącznikiem nr 1 „oferta techniczna. Gwarancja obejmuje także wszelkie akcesoria niezbędne do funkcjonowania poszczególnych elementów wyposażenia i aparatury medycznej, w tym oprogramowanie.”. </w:t>
      </w:r>
    </w:p>
    <w:p w:rsidR="006E7307" w:rsidRPr="006E7307" w:rsidRDefault="006E7307" w:rsidP="006E7307">
      <w:pPr>
        <w:tabs>
          <w:tab w:val="left" w:pos="708"/>
          <w:tab w:val="center" w:pos="4536"/>
          <w:tab w:val="right" w:pos="9072"/>
        </w:tabs>
        <w:suppressAutoHyphens w:val="0"/>
        <w:spacing w:line="276" w:lineRule="auto"/>
        <w:contextualSpacing/>
        <w:jc w:val="both"/>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hAnsi="Calibri" w:cs="Calibri"/>
          <w:b/>
          <w:bCs/>
          <w:sz w:val="22"/>
          <w:szCs w:val="22"/>
          <w:lang w:eastAsia="en-US"/>
        </w:rPr>
      </w:pPr>
      <w:r w:rsidRPr="006E7307">
        <w:rPr>
          <w:rFonts w:ascii="Calibri" w:hAnsi="Calibri" w:cs="Calibri"/>
          <w:b/>
          <w:bCs/>
          <w:sz w:val="22"/>
          <w:szCs w:val="22"/>
          <w:lang w:eastAsia="en-US"/>
        </w:rPr>
        <w:t xml:space="preserve">SIWZ - Załączniku nr 9 - Wzór umowy - § 15 ust. 5. </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Zwracamy się do Zamawiającego z prośbą o zmianę ust 5 na poniższy zapis:</w:t>
      </w:r>
    </w:p>
    <w:p w:rsidR="006E7307" w:rsidRPr="006E7307" w:rsidRDefault="006E7307" w:rsidP="006E7307">
      <w:pPr>
        <w:suppressAutoHyphens w:val="0"/>
        <w:spacing w:line="276" w:lineRule="auto"/>
        <w:contextualSpacing/>
        <w:jc w:val="both"/>
        <w:rPr>
          <w:rFonts w:ascii="Calibri" w:hAnsi="Calibri" w:cs="Calibri"/>
          <w:b/>
          <w:bCs/>
          <w:sz w:val="22"/>
          <w:szCs w:val="22"/>
          <w:lang w:eastAsia="en-US"/>
        </w:rPr>
      </w:pPr>
      <w:r w:rsidRPr="006E7307">
        <w:rPr>
          <w:rFonts w:ascii="Calibri" w:hAnsi="Calibri" w:cs="Calibri"/>
          <w:sz w:val="22"/>
          <w:szCs w:val="22"/>
          <w:lang w:eastAsia="en-US"/>
        </w:rPr>
        <w:t>” Wykonawca zobowiązuje się do podjęcia naprawy uniemożliwiającej dalszą pracę aparatury w ramach gwarancji w ciągu do 24 godzin w dni robocze (za dni robocze przyjmuje się dni inne niż soboty, niedziele i dni ustawowo wolne od pracy), przy czym przez podjęcie naprawy rozumie się osobistą obecność w miejscu awarii uprawnionego pracownika Wykonawcy – specjalisty w zakresie danej awarii lub usterki. Przed przystąpieniem do naprawy utrudniającej pracę Wykonawca uzgodni z Zamawiającym termin diagnozy lub naprawy sprzętu”</w:t>
      </w:r>
    </w:p>
    <w:p w:rsidR="006E7307" w:rsidRPr="006E7307" w:rsidRDefault="006E7307" w:rsidP="006E7307">
      <w:pPr>
        <w:suppressAutoHyphens w:val="0"/>
        <w:spacing w:line="276" w:lineRule="auto"/>
        <w:contextualSpacing/>
        <w:rPr>
          <w:rFonts w:ascii="Calibri" w:hAnsi="Calibri" w:cs="Calibri"/>
          <w:b/>
          <w:bCs/>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hAnsi="Calibri" w:cs="Calibri"/>
          <w:b/>
          <w:bCs/>
          <w:sz w:val="22"/>
          <w:szCs w:val="22"/>
          <w:lang w:eastAsia="en-US"/>
        </w:rPr>
      </w:pPr>
      <w:r w:rsidRPr="006E7307">
        <w:rPr>
          <w:rFonts w:ascii="Calibri" w:hAnsi="Calibri" w:cs="Calibri"/>
          <w:b/>
          <w:bCs/>
          <w:sz w:val="22"/>
          <w:szCs w:val="22"/>
          <w:lang w:eastAsia="en-US"/>
        </w:rPr>
        <w:t>SIWZ - Załączniku nr 9 - Wzór umowy - GWARANCJA JAKOŚCI § 15 ust. 6.</w:t>
      </w:r>
    </w:p>
    <w:p w:rsidR="006E7307" w:rsidRPr="006E7307" w:rsidRDefault="006E7307" w:rsidP="006E7307">
      <w:pPr>
        <w:suppressAutoHyphens w:val="0"/>
        <w:spacing w:line="276" w:lineRule="auto"/>
        <w:contextualSpacing/>
        <w:jc w:val="both"/>
        <w:rPr>
          <w:rFonts w:ascii="Calibri" w:hAnsi="Calibri" w:cs="Calibri"/>
          <w:b/>
          <w:bCs/>
          <w:sz w:val="22"/>
          <w:szCs w:val="22"/>
          <w:lang w:eastAsia="en-US"/>
        </w:rPr>
      </w:pPr>
      <w:r w:rsidRPr="006E7307">
        <w:rPr>
          <w:rFonts w:ascii="Calibri" w:hAnsi="Calibri" w:cs="Calibri"/>
          <w:sz w:val="22"/>
          <w:szCs w:val="22"/>
          <w:lang w:eastAsia="en-US"/>
        </w:rPr>
        <w:t>Zwracamy się do Zamawiającego z prośbą o modyfikację ust 6 na poniższy;</w:t>
      </w:r>
    </w:p>
    <w:p w:rsidR="006E7307" w:rsidRPr="006E7307" w:rsidRDefault="006E7307" w:rsidP="006E7307">
      <w:pPr>
        <w:suppressAutoHyphens w:val="0"/>
        <w:spacing w:line="276" w:lineRule="auto"/>
        <w:contextualSpacing/>
        <w:rPr>
          <w:rFonts w:ascii="Calibri" w:hAnsi="Calibri" w:cs="Calibri"/>
          <w:b/>
          <w:bCs/>
          <w:sz w:val="22"/>
          <w:szCs w:val="22"/>
          <w:lang w:eastAsia="en-US"/>
        </w:rPr>
      </w:pPr>
      <w:r w:rsidRPr="006E7307">
        <w:rPr>
          <w:rFonts w:ascii="Calibri" w:hAnsi="Calibri" w:cs="Calibri"/>
          <w:sz w:val="22"/>
          <w:szCs w:val="22"/>
          <w:lang w:eastAsia="en-US"/>
        </w:rPr>
        <w:t xml:space="preserve">„Zamawiający zobowiązany jest to telefonicznego lub </w:t>
      </w:r>
      <w:proofErr w:type="spellStart"/>
      <w:r w:rsidRPr="006E7307">
        <w:rPr>
          <w:rFonts w:ascii="Calibri" w:hAnsi="Calibri" w:cs="Calibri"/>
          <w:sz w:val="22"/>
          <w:szCs w:val="22"/>
          <w:lang w:eastAsia="en-US"/>
        </w:rPr>
        <w:t>emailowego</w:t>
      </w:r>
      <w:proofErr w:type="spellEnd"/>
      <w:r w:rsidRPr="006E7307">
        <w:rPr>
          <w:rFonts w:ascii="Calibri" w:hAnsi="Calibri" w:cs="Calibri"/>
          <w:sz w:val="22"/>
          <w:szCs w:val="22"/>
          <w:lang w:eastAsia="en-US"/>
        </w:rPr>
        <w:t xml:space="preserve"> zgłaszania awarii „</w:t>
      </w:r>
    </w:p>
    <w:p w:rsidR="006E7307" w:rsidRPr="006E7307" w:rsidRDefault="006E7307" w:rsidP="006E7307">
      <w:pPr>
        <w:suppressAutoHyphens w:val="0"/>
        <w:spacing w:line="276" w:lineRule="auto"/>
        <w:contextualSpacing/>
        <w:rPr>
          <w:rFonts w:ascii="Calibri" w:hAnsi="Calibri" w:cs="Calibri"/>
          <w:b/>
          <w:bCs/>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hAnsi="Calibri" w:cs="Calibri"/>
          <w:b/>
          <w:bCs/>
          <w:sz w:val="22"/>
          <w:szCs w:val="22"/>
          <w:lang w:eastAsia="en-US"/>
        </w:rPr>
      </w:pPr>
      <w:r w:rsidRPr="006E7307">
        <w:rPr>
          <w:rFonts w:ascii="Calibri" w:hAnsi="Calibri" w:cs="Calibri"/>
          <w:b/>
          <w:bCs/>
          <w:sz w:val="22"/>
          <w:szCs w:val="22"/>
          <w:lang w:eastAsia="en-US"/>
        </w:rPr>
        <w:t>SIWZ - Załączniku nr 9 - Wzór umowy - GWARANCJA JAKOŚCI § 15 ust. 7.</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 uwagi na to iż „Protokół Odbioru usunięcia wady” w przypadku usterek/ awarii, może być sformułowaniem mylącym, zwracamy się do Zamawiającego z prośbą o zmianę sformułowania „Protokół odbioru usunięcia wady” na „Raport Serwisowy” i akceptację ust 7 zgodnie z poniższym zapisem;</w:t>
      </w:r>
    </w:p>
    <w:p w:rsidR="006E7307" w:rsidRPr="006E7307" w:rsidRDefault="006E7307" w:rsidP="006E7307">
      <w:pPr>
        <w:suppressAutoHyphens w:val="0"/>
        <w:autoSpaceDE w:val="0"/>
        <w:autoSpaceDN w:val="0"/>
        <w:adjustRightInd w:val="0"/>
        <w:spacing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„Maksymalny czas usunięcia wady (liczony od dnia otrzymania zgłoszenia awarii) nie może przekroczyć 5 dni roboczych, z zastrzeżeniem ust. 8 i ust. 9. Usunięcie wady uznaje się za skuteczne z chwilą podpisania Raportu Serwisowego „</w:t>
      </w:r>
    </w:p>
    <w:p w:rsidR="006E7307" w:rsidRPr="006E7307" w:rsidRDefault="006E7307" w:rsidP="006E7307">
      <w:pPr>
        <w:suppressAutoHyphens w:val="0"/>
        <w:autoSpaceDE w:val="0"/>
        <w:autoSpaceDN w:val="0"/>
        <w:adjustRightInd w:val="0"/>
        <w:spacing w:line="276" w:lineRule="auto"/>
        <w:contextualSpacing/>
        <w:jc w:val="both"/>
        <w:rPr>
          <w:rFonts w:ascii="Calibri" w:eastAsia="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sz w:val="22"/>
          <w:szCs w:val="22"/>
          <w:lang w:eastAsia="en-US"/>
        </w:rPr>
        <w:t> </w:t>
      </w:r>
      <w:r w:rsidRPr="006E7307">
        <w:rPr>
          <w:rFonts w:ascii="Calibri" w:hAnsi="Calibri" w:cs="Calibri"/>
          <w:b/>
          <w:sz w:val="22"/>
          <w:szCs w:val="22"/>
          <w:lang w:eastAsia="en-US"/>
        </w:rPr>
        <w:t xml:space="preserve">SIWZ – załącznik 9 „umowa -wzór” § 15 ust. 7.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Zamawiający proszony jest o wykreślenie treści w brzmieniu „</w:t>
      </w:r>
      <w:r w:rsidRPr="006E7307">
        <w:rPr>
          <w:rFonts w:ascii="Calibri" w:hAnsi="Calibri" w:cs="Calibri"/>
          <w:i/>
          <w:sz w:val="22"/>
          <w:szCs w:val="22"/>
          <w:lang w:eastAsia="en-US"/>
        </w:rPr>
        <w:t>oraz naprawy wszelkiej wynikającej z niej szkody</w:t>
      </w:r>
      <w:r w:rsidRPr="006E7307">
        <w:rPr>
          <w:rFonts w:ascii="Calibri" w:hAnsi="Calibri" w:cs="Calibri"/>
          <w:sz w:val="22"/>
          <w:szCs w:val="22"/>
          <w:lang w:eastAsia="en-US"/>
        </w:rPr>
        <w:t>”. Wykonawca z tytułu gwarancji zobowiązany jest do usuwanie wad dostarczonego sprzętu. Odpowiedzialność Wykonawcy wobec Zamawiającego z tytuły niewykonania lub nienależytego wykonania umowy określona została w § 17 Umowy. Ustaloną sankcją jest kara umowna z prawem do odszkodowania uzupełniającego na zasadach określonych w kodeksie cywilnym.</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 załącznik 9 „umowa -wzór” § 15 ust. 8.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Zamawiający proszony jest o wykreślenie treści w brzmieniu „</w:t>
      </w:r>
      <w:r w:rsidRPr="006E7307">
        <w:rPr>
          <w:rFonts w:ascii="Calibri" w:hAnsi="Calibri" w:cs="Calibri"/>
          <w:i/>
          <w:sz w:val="22"/>
          <w:szCs w:val="22"/>
          <w:lang w:eastAsia="en-US"/>
        </w:rPr>
        <w:t>naprawi wszelką wynikającą z niej szkodę</w:t>
      </w:r>
      <w:r w:rsidRPr="006E7307">
        <w:rPr>
          <w:rFonts w:ascii="Calibri" w:hAnsi="Calibri" w:cs="Calibri"/>
          <w:sz w:val="22"/>
          <w:szCs w:val="22"/>
          <w:lang w:eastAsia="en-US"/>
        </w:rPr>
        <w:t xml:space="preserve">”.  </w:t>
      </w:r>
      <w:proofErr w:type="spellStart"/>
      <w:r w:rsidRPr="006E7307">
        <w:rPr>
          <w:rFonts w:ascii="Calibri" w:hAnsi="Calibri" w:cs="Calibri"/>
          <w:sz w:val="22"/>
          <w:szCs w:val="22"/>
          <w:lang w:val="en-GB" w:eastAsia="en-US"/>
        </w:rPr>
        <w:t>Wykonawca</w:t>
      </w:r>
      <w:proofErr w:type="spellEnd"/>
      <w:r w:rsidRPr="006E7307">
        <w:rPr>
          <w:rFonts w:ascii="Calibri" w:hAnsi="Calibri" w:cs="Calibri"/>
          <w:sz w:val="22"/>
          <w:szCs w:val="22"/>
          <w:lang w:val="en-GB" w:eastAsia="en-US"/>
        </w:rPr>
        <w:t xml:space="preserve"> z </w:t>
      </w:r>
      <w:proofErr w:type="spellStart"/>
      <w:r w:rsidRPr="006E7307">
        <w:rPr>
          <w:rFonts w:ascii="Calibri" w:hAnsi="Calibri" w:cs="Calibri"/>
          <w:sz w:val="22"/>
          <w:szCs w:val="22"/>
          <w:lang w:val="en-GB" w:eastAsia="en-US"/>
        </w:rPr>
        <w:t>tytułu</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gwarancji</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zobowiązany</w:t>
      </w:r>
      <w:proofErr w:type="spellEnd"/>
      <w:r w:rsidRPr="006E7307">
        <w:rPr>
          <w:rFonts w:ascii="Calibri" w:hAnsi="Calibri" w:cs="Calibri"/>
          <w:sz w:val="22"/>
          <w:szCs w:val="22"/>
          <w:lang w:val="en-GB" w:eastAsia="en-US"/>
        </w:rPr>
        <w:t xml:space="preserve"> jest do </w:t>
      </w:r>
      <w:proofErr w:type="spellStart"/>
      <w:r w:rsidRPr="006E7307">
        <w:rPr>
          <w:rFonts w:ascii="Calibri" w:hAnsi="Calibri" w:cs="Calibri"/>
          <w:sz w:val="22"/>
          <w:szCs w:val="22"/>
          <w:lang w:val="en-GB" w:eastAsia="en-US"/>
        </w:rPr>
        <w:t>usuwanie</w:t>
      </w:r>
      <w:proofErr w:type="spellEnd"/>
      <w:r w:rsidRPr="006E7307">
        <w:rPr>
          <w:rFonts w:ascii="Calibri" w:hAnsi="Calibri" w:cs="Calibri"/>
          <w:sz w:val="22"/>
          <w:szCs w:val="22"/>
          <w:lang w:val="en-GB" w:eastAsia="en-US"/>
        </w:rPr>
        <w:t xml:space="preserve"> wad </w:t>
      </w:r>
      <w:proofErr w:type="spellStart"/>
      <w:r w:rsidRPr="006E7307">
        <w:rPr>
          <w:rFonts w:ascii="Calibri" w:hAnsi="Calibri" w:cs="Calibri"/>
          <w:sz w:val="22"/>
          <w:szCs w:val="22"/>
          <w:lang w:val="en-GB" w:eastAsia="en-US"/>
        </w:rPr>
        <w:t>dostarczonego</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sprzętu</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Odpowiedzialność</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Wykonawcy</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wobec</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Zamawiającego</w:t>
      </w:r>
      <w:proofErr w:type="spellEnd"/>
      <w:r w:rsidRPr="006E7307">
        <w:rPr>
          <w:rFonts w:ascii="Calibri" w:hAnsi="Calibri" w:cs="Calibri"/>
          <w:sz w:val="22"/>
          <w:szCs w:val="22"/>
          <w:lang w:val="en-GB" w:eastAsia="en-US"/>
        </w:rPr>
        <w:t xml:space="preserve"> z </w:t>
      </w:r>
      <w:proofErr w:type="spellStart"/>
      <w:r w:rsidRPr="006E7307">
        <w:rPr>
          <w:rFonts w:ascii="Calibri" w:hAnsi="Calibri" w:cs="Calibri"/>
          <w:sz w:val="22"/>
          <w:szCs w:val="22"/>
          <w:lang w:val="en-GB" w:eastAsia="en-US"/>
        </w:rPr>
        <w:t>tytuły</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niewykonania</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lub</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nienależytego</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wykonania</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umowy</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określona</w:t>
      </w:r>
      <w:proofErr w:type="spellEnd"/>
      <w:r w:rsidRPr="006E7307">
        <w:rPr>
          <w:rFonts w:ascii="Calibri" w:hAnsi="Calibri" w:cs="Calibri"/>
          <w:sz w:val="22"/>
          <w:szCs w:val="22"/>
          <w:lang w:val="en-GB" w:eastAsia="en-US"/>
        </w:rPr>
        <w:t xml:space="preserve"> </w:t>
      </w:r>
      <w:proofErr w:type="spellStart"/>
      <w:r w:rsidRPr="006E7307">
        <w:rPr>
          <w:rFonts w:ascii="Calibri" w:hAnsi="Calibri" w:cs="Calibri"/>
          <w:sz w:val="22"/>
          <w:szCs w:val="22"/>
          <w:lang w:val="en-GB" w:eastAsia="en-US"/>
        </w:rPr>
        <w:t>została</w:t>
      </w:r>
      <w:proofErr w:type="spellEnd"/>
      <w:r w:rsidRPr="006E7307">
        <w:rPr>
          <w:rFonts w:ascii="Calibri" w:hAnsi="Calibri" w:cs="Calibri"/>
          <w:sz w:val="22"/>
          <w:szCs w:val="22"/>
          <w:lang w:val="en-GB" w:eastAsia="en-US"/>
        </w:rPr>
        <w:t xml:space="preserve"> w § 17 </w:t>
      </w:r>
      <w:proofErr w:type="spellStart"/>
      <w:r w:rsidRPr="006E7307">
        <w:rPr>
          <w:rFonts w:ascii="Calibri" w:hAnsi="Calibri" w:cs="Calibri"/>
          <w:sz w:val="22"/>
          <w:szCs w:val="22"/>
          <w:lang w:val="en-GB" w:eastAsia="en-US"/>
        </w:rPr>
        <w:t>Umowy</w:t>
      </w:r>
      <w:proofErr w:type="spellEnd"/>
      <w:r w:rsidRPr="006E7307">
        <w:rPr>
          <w:rFonts w:ascii="Calibri" w:hAnsi="Calibri" w:cs="Calibri"/>
          <w:sz w:val="22"/>
          <w:szCs w:val="22"/>
          <w:lang w:val="en-GB" w:eastAsia="en-US"/>
        </w:rPr>
        <w:t xml:space="preserve">. </w:t>
      </w:r>
      <w:r w:rsidRPr="006E7307">
        <w:rPr>
          <w:rFonts w:ascii="Calibri" w:hAnsi="Calibri" w:cs="Calibri"/>
          <w:sz w:val="22"/>
          <w:szCs w:val="22"/>
          <w:lang w:eastAsia="en-US"/>
        </w:rPr>
        <w:t>Ustaloną sankcją jest kara umowna z prawem do odszkodowania uzupełniającego na zasadach określonych w kodeksie cywilnym.</w:t>
      </w: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suppressAutoHyphens w:val="0"/>
        <w:spacing w:line="276" w:lineRule="auto"/>
        <w:contextualSpacing/>
        <w:jc w:val="both"/>
        <w:rPr>
          <w:rFonts w:ascii="Calibri" w:hAnsi="Calibri" w:cs="Calibri"/>
          <w:sz w:val="22"/>
          <w:szCs w:val="22"/>
          <w:lang w:eastAsia="pl-PL"/>
        </w:rPr>
      </w:pPr>
    </w:p>
    <w:p w:rsidR="006E7307" w:rsidRPr="006E7307" w:rsidRDefault="006E7307" w:rsidP="006E7307">
      <w:pPr>
        <w:numPr>
          <w:ilvl w:val="0"/>
          <w:numId w:val="23"/>
        </w:numPr>
        <w:suppressAutoHyphens w:val="0"/>
        <w:spacing w:line="276" w:lineRule="auto"/>
        <w:ind w:left="0"/>
        <w:contextualSpacing/>
        <w:jc w:val="both"/>
        <w:rPr>
          <w:rFonts w:ascii="Calibri" w:hAnsi="Calibri" w:cs="Calibri"/>
          <w:sz w:val="22"/>
          <w:szCs w:val="22"/>
          <w:lang w:eastAsia="pl-PL"/>
        </w:rPr>
      </w:pPr>
      <w:r w:rsidRPr="006E7307">
        <w:rPr>
          <w:rFonts w:ascii="Calibri" w:hAnsi="Calibri" w:cs="Calibri"/>
          <w:b/>
          <w:sz w:val="22"/>
          <w:szCs w:val="22"/>
          <w:lang w:eastAsia="en-US"/>
        </w:rPr>
        <w:t xml:space="preserve">SIWZ – załącznik 9 „umowa -wzór” § 15 ust. 9.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Zamawiający proszony jest o wykreślenie treści w brzmieniu „</w:t>
      </w:r>
      <w:r w:rsidRPr="006E7307">
        <w:rPr>
          <w:rFonts w:ascii="Calibri" w:hAnsi="Calibri" w:cs="Calibri"/>
          <w:i/>
          <w:sz w:val="22"/>
          <w:szCs w:val="22"/>
          <w:lang w:eastAsia="en-US"/>
        </w:rPr>
        <w:t>i powstałe w jej wyniku szkody</w:t>
      </w:r>
      <w:r w:rsidRPr="006E7307">
        <w:rPr>
          <w:rFonts w:ascii="Calibri" w:hAnsi="Calibri" w:cs="Calibri"/>
          <w:sz w:val="22"/>
          <w:szCs w:val="22"/>
          <w:lang w:eastAsia="en-US"/>
        </w:rPr>
        <w:t>”. Wykonawca z tytułu gwarancji zobowiązany jest do usuwanie wad dostarczonego sprzętu. Odpowiedzialność Wykonawcy wobec Zamawiającego z tytuły niewykonania lub nienależytego wykonania umowy określona została w § 17 Umowy. Ustaloną sankcją jest kara umowna z prawem do odszkodowania uzupełniającego na zasadach określonych w kodeksie cywilnym.</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hAnsi="Calibri" w:cs="Calibri"/>
          <w:b/>
          <w:bCs/>
          <w:sz w:val="22"/>
          <w:szCs w:val="22"/>
          <w:lang w:eastAsia="en-US"/>
        </w:rPr>
      </w:pPr>
      <w:r w:rsidRPr="006E7307">
        <w:rPr>
          <w:rFonts w:ascii="Calibri" w:hAnsi="Calibri" w:cs="Calibri"/>
          <w:b/>
          <w:bCs/>
          <w:sz w:val="22"/>
          <w:szCs w:val="22"/>
          <w:lang w:eastAsia="en-US"/>
        </w:rPr>
        <w:t>SIWZ - Załączniku nr 9 - Wzór umowy - GWARANCJA JAKOŚCI § 15 ust. 13.</w:t>
      </w:r>
    </w:p>
    <w:p w:rsidR="006E7307" w:rsidRPr="006E7307" w:rsidRDefault="006E7307" w:rsidP="006E7307">
      <w:pPr>
        <w:suppressAutoHyphens w:val="0"/>
        <w:spacing w:line="276" w:lineRule="auto"/>
        <w:contextualSpacing/>
        <w:rPr>
          <w:rFonts w:ascii="Calibri" w:hAnsi="Calibri" w:cs="Calibri"/>
          <w:b/>
          <w:bCs/>
          <w:sz w:val="22"/>
          <w:szCs w:val="22"/>
          <w:lang w:eastAsia="en-US"/>
        </w:rPr>
      </w:pPr>
      <w:r w:rsidRPr="006E7307">
        <w:rPr>
          <w:rFonts w:ascii="Calibri" w:hAnsi="Calibri" w:cs="Calibri"/>
          <w:sz w:val="22"/>
          <w:szCs w:val="22"/>
          <w:lang w:eastAsia="en-US"/>
        </w:rPr>
        <w:t>Zwracamy się do Zamawiającego z prośbą o modyfikację ust 13 zgodnie z poniższym zapisem:</w:t>
      </w:r>
    </w:p>
    <w:p w:rsidR="006E7307" w:rsidRPr="006E7307" w:rsidRDefault="006E7307" w:rsidP="006E7307">
      <w:pPr>
        <w:suppressAutoHyphens w:val="0"/>
        <w:autoSpaceDE w:val="0"/>
        <w:autoSpaceDN w:val="0"/>
        <w:adjustRightInd w:val="0"/>
        <w:spacing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„Jeżeli w ramach gwarancji Wykonawca dokonał usunięcia wad istotnych związanych z przestojem aparatury, termin gwarancji ulega przedłużeniu o czas, w którym wada była usuwana.”</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 </w:t>
      </w:r>
    </w:p>
    <w:p w:rsidR="006E7307" w:rsidRPr="006E7307" w:rsidRDefault="006E7307" w:rsidP="006E7307">
      <w:pPr>
        <w:numPr>
          <w:ilvl w:val="0"/>
          <w:numId w:val="23"/>
        </w:numPr>
        <w:suppressAutoHyphens w:val="0"/>
        <w:spacing w:line="276" w:lineRule="auto"/>
        <w:ind w:left="0"/>
        <w:contextualSpacing/>
        <w:rPr>
          <w:rFonts w:ascii="Calibri" w:hAnsi="Calibri" w:cs="Calibri"/>
          <w:b/>
          <w:bCs/>
          <w:sz w:val="22"/>
          <w:szCs w:val="22"/>
          <w:lang w:eastAsia="en-US"/>
        </w:rPr>
      </w:pPr>
      <w:r w:rsidRPr="006E7307">
        <w:rPr>
          <w:rFonts w:ascii="Calibri" w:hAnsi="Calibri" w:cs="Calibri"/>
          <w:b/>
          <w:bCs/>
          <w:sz w:val="22"/>
          <w:szCs w:val="22"/>
          <w:lang w:eastAsia="en-US"/>
        </w:rPr>
        <w:t>SIWZ - Załączniku nr 9 - Wzór umowy - GWARANCJA JAKOŚCI § 15 ust. 14.</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Naprawy sprzętu, stanowiącego przedmiot zamówienia, mogą być wykonywane jedynie przez podmioty upoważnione, o których mowa w art. 90 ust. 4 ustawy z dnia 20 maja 2010 r. o wyrobach medycznych (</w:t>
      </w:r>
      <w:proofErr w:type="spellStart"/>
      <w:r w:rsidRPr="006E7307">
        <w:rPr>
          <w:rFonts w:ascii="Calibri" w:hAnsi="Calibri" w:cs="Calibri"/>
          <w:sz w:val="22"/>
          <w:szCs w:val="22"/>
          <w:lang w:eastAsia="en-US"/>
        </w:rPr>
        <w:t>t.j</w:t>
      </w:r>
      <w:proofErr w:type="spellEnd"/>
      <w:r w:rsidRPr="006E7307">
        <w:rPr>
          <w:rFonts w:ascii="Calibri" w:hAnsi="Calibri" w:cs="Calibri"/>
          <w:sz w:val="22"/>
          <w:szCs w:val="22"/>
          <w:lang w:eastAsia="en-US"/>
        </w:rPr>
        <w:t xml:space="preserve">. Dz. U. 2017. 211).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W związku z powyższym Zamawiający proszony jest zmianę niniejszego postanawiania, tak aby zdanie pierwsze otrzymało treść: „</w:t>
      </w:r>
      <w:r w:rsidRPr="006E7307">
        <w:rPr>
          <w:rFonts w:ascii="Calibri" w:hAnsi="Calibri" w:cs="Calibri"/>
          <w:i/>
          <w:sz w:val="22"/>
          <w:szCs w:val="22"/>
          <w:lang w:eastAsia="en-US"/>
        </w:rPr>
        <w:t>Jeżeli Wykonawca nie przystąpi we właściwym terminie do usunięcia wady wówczas Zamawiający może, po zawiadomieniu o tym Wykonawcy, zlecić usunięcie wady podmiotowi trzeciemu posiadającemu upoważnienie producenta lub jego autoryzowanego przedstawiciela do wykonanie tej czynności</w:t>
      </w:r>
      <w:r w:rsidRPr="006E7307">
        <w:rPr>
          <w:rFonts w:ascii="Calibri" w:hAnsi="Calibri" w:cs="Calibri"/>
          <w:sz w:val="22"/>
          <w:szCs w:val="22"/>
          <w:lang w:eastAsia="en-US"/>
        </w:rPr>
        <w:t>”.</w:t>
      </w:r>
    </w:p>
    <w:p w:rsidR="006E7307" w:rsidRPr="006E7307" w:rsidRDefault="006E7307" w:rsidP="006E7307">
      <w:pPr>
        <w:suppressAutoHyphens w:val="0"/>
        <w:spacing w:line="276" w:lineRule="auto"/>
        <w:contextualSpacing/>
        <w:jc w:val="both"/>
        <w:rPr>
          <w:rFonts w:ascii="Calibri" w:hAnsi="Calibri" w:cs="Calibri"/>
          <w:b/>
          <w:bCs/>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hAnsi="Calibri" w:cs="Calibri"/>
          <w:b/>
          <w:bCs/>
          <w:sz w:val="22"/>
          <w:szCs w:val="22"/>
          <w:lang w:eastAsia="en-US"/>
        </w:rPr>
      </w:pPr>
      <w:r w:rsidRPr="006E7307">
        <w:rPr>
          <w:rFonts w:ascii="Calibri" w:hAnsi="Calibri" w:cs="Calibri"/>
          <w:b/>
          <w:bCs/>
          <w:sz w:val="22"/>
          <w:szCs w:val="22"/>
          <w:lang w:eastAsia="en-US"/>
        </w:rPr>
        <w:t>SIWZ - Załączniku nr 9 - Wzór umowy - GWARANCJA JAKOŚCI § 15 ust. 16.</w:t>
      </w:r>
    </w:p>
    <w:p w:rsidR="006E7307" w:rsidRPr="006E7307" w:rsidRDefault="006E7307" w:rsidP="006E7307">
      <w:pPr>
        <w:suppressAutoHyphens w:val="0"/>
        <w:spacing w:line="276" w:lineRule="auto"/>
        <w:contextualSpacing/>
        <w:rPr>
          <w:rFonts w:ascii="Calibri" w:hAnsi="Calibri" w:cs="Calibri"/>
          <w:b/>
          <w:bCs/>
          <w:sz w:val="22"/>
          <w:szCs w:val="22"/>
          <w:lang w:eastAsia="en-US"/>
        </w:rPr>
      </w:pPr>
      <w:r w:rsidRPr="006E7307">
        <w:rPr>
          <w:rFonts w:ascii="Calibri" w:hAnsi="Calibri" w:cs="Calibri"/>
          <w:sz w:val="22"/>
          <w:szCs w:val="22"/>
          <w:lang w:eastAsia="en-US"/>
        </w:rPr>
        <w:t>Zamawiający proszony jest o zmianę tego postanowienia tak, by termin przeglądu gwarancyjnego był ustalany wspólnie przez Strony. W związku z powyższym Zamawiający proszony jest o zmianę § 15 ust 16 Umowy</w:t>
      </w:r>
      <w:r w:rsidRPr="006E7307">
        <w:rPr>
          <w:rFonts w:ascii="Calibri" w:hAnsi="Calibri" w:cs="Calibri"/>
          <w:b/>
          <w:sz w:val="22"/>
          <w:szCs w:val="22"/>
          <w:lang w:eastAsia="en-US"/>
        </w:rPr>
        <w:t xml:space="preserve"> </w:t>
      </w:r>
      <w:r w:rsidRPr="006E7307">
        <w:rPr>
          <w:rFonts w:ascii="Calibri" w:hAnsi="Calibri" w:cs="Calibri"/>
          <w:sz w:val="22"/>
          <w:szCs w:val="22"/>
          <w:lang w:eastAsia="en-US"/>
        </w:rPr>
        <w:t>nadając mu brzmienie: „</w:t>
      </w:r>
      <w:r w:rsidRPr="006E7307">
        <w:rPr>
          <w:rFonts w:ascii="Calibri" w:hAnsi="Calibri" w:cs="Calibri"/>
          <w:i/>
          <w:sz w:val="22"/>
          <w:szCs w:val="22"/>
          <w:lang w:eastAsia="en-US"/>
        </w:rPr>
        <w:t>Termin dokonania przeglądu gwarancyjnego wyznaczają Strony</w:t>
      </w:r>
      <w:r w:rsidRPr="006E7307">
        <w:rPr>
          <w:rFonts w:ascii="Calibri" w:hAnsi="Calibri" w:cs="Calibri"/>
          <w:sz w:val="22"/>
          <w:szCs w:val="22"/>
          <w:lang w:eastAsia="en-US"/>
        </w:rPr>
        <w:t xml:space="preserve">”; </w:t>
      </w:r>
    </w:p>
    <w:p w:rsidR="006E7307" w:rsidRPr="006E7307" w:rsidRDefault="006E7307" w:rsidP="006E7307">
      <w:pPr>
        <w:suppressAutoHyphens w:val="0"/>
        <w:spacing w:line="276" w:lineRule="auto"/>
        <w:contextualSpacing/>
        <w:rPr>
          <w:rFonts w:ascii="Calibri" w:hAnsi="Calibri" w:cs="Calibri"/>
          <w:b/>
          <w:bCs/>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hAnsi="Calibri" w:cs="Calibri"/>
          <w:b/>
          <w:bCs/>
          <w:sz w:val="22"/>
          <w:szCs w:val="22"/>
          <w:lang w:eastAsia="en-US"/>
        </w:rPr>
      </w:pPr>
      <w:r w:rsidRPr="006E7307">
        <w:rPr>
          <w:rFonts w:ascii="Calibri" w:hAnsi="Calibri" w:cs="Calibri"/>
          <w:b/>
          <w:bCs/>
          <w:sz w:val="22"/>
          <w:szCs w:val="22"/>
          <w:lang w:eastAsia="en-US"/>
        </w:rPr>
        <w:t>Załączniku nr 9 - Wzór umowy - GWARANCJA JAKOŚCI § 15 ust. 17.</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Zwracamy się do Zamawiającego z prośbą o zmianę zapisu ust 17, na poniższy:</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 każdego przeglądu gwarancyjnego sporządzany będzie Raport serwisowy, w dwóch egzemplarzach, po jednym dla Zamawiającego i Wykonawcy. W przypadku nieobecności przedstawiciela Wykonawcy, Zamawiający obowiązany jest niezwłocznie przesłać Wykonawcy jeden egzemplarz Raportu serwisowego.  Dokonanie przeglądu potwierdzane jest ponadto wpisem w paszporcie i książce gwarancyjnej Zamawiającego”.</w:t>
      </w:r>
    </w:p>
    <w:p w:rsidR="006E7307" w:rsidRPr="006E7307" w:rsidRDefault="006E7307" w:rsidP="006E7307">
      <w:pPr>
        <w:suppressAutoHyphens w:val="0"/>
        <w:spacing w:line="276" w:lineRule="auto"/>
        <w:contextualSpacing/>
        <w:jc w:val="both"/>
        <w:rPr>
          <w:rFonts w:ascii="Calibri" w:hAnsi="Calibri" w:cs="Calibri"/>
          <w:b/>
          <w:bCs/>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hAnsi="Calibri" w:cs="Calibri"/>
          <w:sz w:val="22"/>
          <w:szCs w:val="22"/>
          <w:lang w:eastAsia="en-US"/>
        </w:rPr>
      </w:pPr>
      <w:r w:rsidRPr="006E7307">
        <w:rPr>
          <w:rFonts w:ascii="Calibri" w:hAnsi="Calibri" w:cs="Calibri"/>
          <w:b/>
          <w:bCs/>
          <w:sz w:val="22"/>
          <w:szCs w:val="22"/>
          <w:lang w:eastAsia="en-US"/>
        </w:rPr>
        <w:t>Załączniku nr 9 - Wzór umowy - GWARANCJA JAKOŚCI</w:t>
      </w:r>
      <w:r w:rsidRPr="006E7307">
        <w:rPr>
          <w:rFonts w:ascii="Calibri" w:hAnsi="Calibri" w:cs="Calibri"/>
          <w:sz w:val="22"/>
          <w:szCs w:val="22"/>
          <w:lang w:eastAsia="en-US"/>
        </w:rPr>
        <w:t> </w:t>
      </w:r>
      <w:r w:rsidRPr="006E7307">
        <w:rPr>
          <w:rFonts w:ascii="Calibri" w:hAnsi="Calibri" w:cs="Calibri"/>
          <w:b/>
          <w:sz w:val="22"/>
          <w:szCs w:val="22"/>
          <w:lang w:eastAsia="en-US"/>
        </w:rPr>
        <w:t>§ 15 ust. 18 pkt 3 Umowy.</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bCs/>
          <w:sz w:val="22"/>
          <w:szCs w:val="22"/>
          <w:lang w:eastAsia="en-US"/>
        </w:rPr>
        <w:t>C</w:t>
      </w:r>
      <w:r w:rsidRPr="006E7307">
        <w:rPr>
          <w:rFonts w:ascii="Calibri" w:hAnsi="Calibri" w:cs="Calibri"/>
          <w:sz w:val="22"/>
          <w:szCs w:val="22"/>
          <w:lang w:eastAsia="en-US"/>
        </w:rPr>
        <w:t xml:space="preserve">o do zasady określonej w art. 578 </w:t>
      </w:r>
      <w:proofErr w:type="spellStart"/>
      <w:r w:rsidRPr="006E7307">
        <w:rPr>
          <w:rFonts w:ascii="Calibri" w:hAnsi="Calibri" w:cs="Calibri"/>
          <w:sz w:val="22"/>
          <w:szCs w:val="22"/>
          <w:lang w:eastAsia="en-US"/>
        </w:rPr>
        <w:t>kc</w:t>
      </w:r>
      <w:proofErr w:type="spellEnd"/>
      <w:r w:rsidRPr="006E7307">
        <w:rPr>
          <w:rFonts w:ascii="Calibri" w:hAnsi="Calibri" w:cs="Calibri"/>
          <w:sz w:val="22"/>
          <w:szCs w:val="22"/>
          <w:lang w:eastAsia="en-US"/>
        </w:rPr>
        <w:t xml:space="preserve"> gwarancja obejmuje wady powstałe z przyczyn tkwiących w sprzedanej rzeczy. </w:t>
      </w:r>
    </w:p>
    <w:p w:rsidR="006E7307" w:rsidRPr="006E7307" w:rsidRDefault="006E7307" w:rsidP="006E7307">
      <w:pPr>
        <w:suppressAutoHyphens w:val="0"/>
        <w:spacing w:after="200" w:line="276" w:lineRule="auto"/>
        <w:contextualSpacing/>
        <w:jc w:val="both"/>
        <w:rPr>
          <w:rFonts w:ascii="Calibri" w:eastAsia="Calibri" w:hAnsi="Calibri" w:cs="Calibri"/>
          <w:i/>
          <w:sz w:val="22"/>
          <w:szCs w:val="22"/>
          <w:lang w:eastAsia="en-US"/>
        </w:rPr>
      </w:pPr>
      <w:r w:rsidRPr="006E7307">
        <w:rPr>
          <w:rFonts w:ascii="Calibri" w:eastAsia="Calibri" w:hAnsi="Calibri" w:cs="Calibri"/>
          <w:sz w:val="22"/>
          <w:szCs w:val="22"/>
          <w:lang w:eastAsia="en-US"/>
        </w:rPr>
        <w:t>W związku z powyższym Zamawiający proszony jest o zmianę treści ust. 3 nadając mu brzmienie: „</w:t>
      </w:r>
      <w:r w:rsidRPr="006E7307">
        <w:rPr>
          <w:rFonts w:ascii="Calibri" w:eastAsia="Calibri" w:hAnsi="Calibri" w:cs="Calibri"/>
          <w:i/>
          <w:sz w:val="22"/>
          <w:szCs w:val="22"/>
          <w:lang w:eastAsia="en-US"/>
        </w:rPr>
        <w:t>3)</w:t>
      </w:r>
      <w:r w:rsidRPr="006E7307">
        <w:rPr>
          <w:rFonts w:ascii="Calibri" w:eastAsia="Calibri" w:hAnsi="Calibri" w:cs="Calibri"/>
          <w:sz w:val="22"/>
          <w:szCs w:val="22"/>
          <w:lang w:eastAsia="en-US"/>
        </w:rPr>
        <w:t xml:space="preserve"> </w:t>
      </w:r>
      <w:r w:rsidRPr="006E7307">
        <w:rPr>
          <w:rFonts w:ascii="Calibri" w:eastAsia="Calibri" w:hAnsi="Calibri" w:cs="Calibri"/>
          <w:i/>
          <w:sz w:val="22"/>
          <w:szCs w:val="22"/>
          <w:lang w:eastAsia="en-US"/>
        </w:rPr>
        <w:t>szkód wynikłych z opóźnienia w zgłoszeniu wady lub awarii Wykonawcy</w:t>
      </w:r>
      <w:r w:rsidRPr="006E7307">
        <w:rPr>
          <w:rFonts w:ascii="Calibri" w:eastAsia="Calibri" w:hAnsi="Calibri" w:cs="Calibri"/>
          <w:sz w:val="22"/>
          <w:szCs w:val="22"/>
          <w:lang w:eastAsia="en-US"/>
        </w:rPr>
        <w:t>” oraz dodanie po pkt 3 pkt 4) w brzmieniu: „</w:t>
      </w:r>
      <w:r w:rsidRPr="006E7307">
        <w:rPr>
          <w:rFonts w:ascii="Calibri" w:eastAsia="Calibri" w:hAnsi="Calibri" w:cs="Calibri"/>
          <w:i/>
          <w:sz w:val="22"/>
          <w:szCs w:val="22"/>
          <w:lang w:eastAsia="en-US"/>
        </w:rPr>
        <w:t>4) przyczyn zewnętrznych”.</w:t>
      </w:r>
    </w:p>
    <w:p w:rsidR="006E7307" w:rsidRPr="006E7307" w:rsidRDefault="006E7307" w:rsidP="006E7307">
      <w:pPr>
        <w:numPr>
          <w:ilvl w:val="0"/>
          <w:numId w:val="23"/>
        </w:numPr>
        <w:tabs>
          <w:tab w:val="left" w:pos="0"/>
          <w:tab w:val="center" w:pos="4536"/>
          <w:tab w:val="right" w:pos="9072"/>
        </w:tabs>
        <w:suppressAutoHyphens w:val="0"/>
        <w:spacing w:line="276" w:lineRule="auto"/>
        <w:ind w:left="0"/>
        <w:contextualSpacing/>
        <w:jc w:val="both"/>
        <w:rPr>
          <w:rFonts w:ascii="Calibri" w:hAnsi="Calibri" w:cs="Calibri"/>
          <w:b/>
          <w:sz w:val="22"/>
          <w:szCs w:val="22"/>
          <w:lang w:eastAsia="en-US"/>
        </w:rPr>
      </w:pPr>
      <w:r w:rsidRPr="006E7307">
        <w:rPr>
          <w:rFonts w:ascii="Calibri" w:hAnsi="Calibri" w:cs="Calibri"/>
          <w:b/>
          <w:sz w:val="22"/>
          <w:szCs w:val="22"/>
          <w:lang w:eastAsia="en-US"/>
        </w:rPr>
        <w:t xml:space="preserve">SIWZ – załącznik 9 „umowa -wzór” § 17 ust. 1 oraz 2. </w:t>
      </w:r>
    </w:p>
    <w:p w:rsidR="006E7307" w:rsidRPr="006E7307" w:rsidRDefault="006E7307" w:rsidP="006E7307">
      <w:pPr>
        <w:tabs>
          <w:tab w:val="left" w:pos="0"/>
          <w:tab w:val="center" w:pos="4536"/>
          <w:tab w:val="right" w:pos="9072"/>
        </w:tabs>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 xml:space="preserve">Odpowiedzialności Wykonawcy z tytułu niewykonania lub nienależytego wykonania przedmiotu umowy nie może mieć charakteru gwarancyjnego i odnosić się powinna do sytuacji, kiedy niewykonanie umowy lub nienależyte wykonanie umowy wynika z przyczyn leżących po stronie Wykonawcy. </w:t>
      </w:r>
    </w:p>
    <w:p w:rsidR="006E7307" w:rsidRPr="006E7307" w:rsidRDefault="006E7307" w:rsidP="006E7307">
      <w:pPr>
        <w:tabs>
          <w:tab w:val="left" w:pos="0"/>
          <w:tab w:val="center" w:pos="4536"/>
          <w:tab w:val="right" w:pos="9072"/>
        </w:tabs>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Zamawiający proszony jest o zmianę treści ust. 1 nadając mu brzmienie: „</w:t>
      </w:r>
      <w:r w:rsidRPr="006E7307">
        <w:rPr>
          <w:rFonts w:ascii="Calibri" w:hAnsi="Calibri" w:cs="Calibri"/>
          <w:i/>
          <w:sz w:val="22"/>
          <w:szCs w:val="22"/>
          <w:lang w:eastAsia="en-US"/>
        </w:rPr>
        <w:t xml:space="preserve">1. Wykonawca ponosi wobec Zamawiającego pełną odpowiedzialność z tytułu niewykonania lub nienależytego wykonania Przedmiotu umowy, jeżeli niewykonanie lub nienależyte wykonanie Przedmiotu umowy nastąpiło </w:t>
      </w:r>
      <w:r w:rsidRPr="006E7307">
        <w:rPr>
          <w:rFonts w:ascii="Calibri" w:hAnsi="Calibri" w:cs="Calibri"/>
          <w:b/>
          <w:i/>
          <w:sz w:val="22"/>
          <w:szCs w:val="22"/>
          <w:lang w:eastAsia="en-US"/>
        </w:rPr>
        <w:t>z przyczyn leżących po stronie Wykonawcy</w:t>
      </w:r>
      <w:r w:rsidRPr="006E7307">
        <w:rPr>
          <w:rFonts w:ascii="Calibri" w:hAnsi="Calibri" w:cs="Calibri"/>
          <w:sz w:val="22"/>
          <w:szCs w:val="22"/>
          <w:lang w:eastAsia="en-US"/>
        </w:rPr>
        <w:t>.” oraz odpowiednią zmianę treści ust. 2.</w:t>
      </w:r>
    </w:p>
    <w:p w:rsidR="006E7307" w:rsidRPr="006E7307" w:rsidRDefault="006E7307" w:rsidP="006E7307">
      <w:pPr>
        <w:tabs>
          <w:tab w:val="left" w:pos="0"/>
          <w:tab w:val="center" w:pos="4536"/>
          <w:tab w:val="right" w:pos="9072"/>
        </w:tabs>
        <w:suppressAutoHyphens w:val="0"/>
        <w:spacing w:line="276" w:lineRule="auto"/>
        <w:contextualSpacing/>
        <w:jc w:val="both"/>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jc w:val="both"/>
        <w:rPr>
          <w:rFonts w:ascii="Calibri" w:eastAsia="Calibri" w:hAnsi="Calibri" w:cs="Calibri"/>
          <w:b/>
          <w:sz w:val="22"/>
          <w:szCs w:val="22"/>
          <w:lang w:eastAsia="en-US"/>
        </w:rPr>
      </w:pPr>
      <w:r w:rsidRPr="006E7307">
        <w:rPr>
          <w:rFonts w:ascii="Calibri" w:eastAsia="Calibri" w:hAnsi="Calibri" w:cs="Calibri"/>
          <w:b/>
          <w:sz w:val="22"/>
          <w:szCs w:val="22"/>
          <w:lang w:eastAsia="en-US"/>
        </w:rPr>
        <w:t>Załącznik nr 9 do SIWZ – Wzór umowy § 17 ust. 2 pkt 1).</w:t>
      </w:r>
    </w:p>
    <w:p w:rsidR="006E7307" w:rsidRPr="006E7307" w:rsidRDefault="006E7307" w:rsidP="006E7307">
      <w:pPr>
        <w:suppressAutoHyphens w:val="0"/>
        <w:autoSpaceDE w:val="0"/>
        <w:autoSpaceDN w:val="0"/>
        <w:adjustRightInd w:val="0"/>
        <w:spacing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W §17 ust. 2 pkt 1 wzoru umowy wnosimy o zmianę sformułowania „opóźnienie” na „zwłokę”. Powyższe podyktowane jest faktem, że prawidłowa realizacja umowy uzależniona jest od przebiegu realizacji zadania pn. </w:t>
      </w:r>
      <w:r w:rsidRPr="006E7307">
        <w:rPr>
          <w:rFonts w:ascii="Calibri" w:eastAsia="Calibri" w:hAnsi="Calibri" w:cs="Calibri"/>
          <w:sz w:val="22"/>
          <w:szCs w:val="22"/>
          <w:lang w:eastAsia="en-US"/>
        </w:rPr>
        <w:lastRenderedPageBreak/>
        <w:t>„Budowa Siedleckiego Ośrodka Onkologii”. Jak wynika z §18 umowy, Zamawiający przewiduje możliwość wystąpienia przyczyn niezależnych od Wykonawcy, wpływających na możliwość niedochowania terminów umownych, w tym m.in. przedłużenia terminu realizacji zadania pn. „Budowa Siedleckiego Ośrodka Onkologii”, nieterminowego udostępnienia pomieszczeń SOO”. Biorąc pod uwagę, że zmiana terminu realizacji umowy w powyższych przypadkach nie jest pewna (wymaga zgody obu stron), zasadne jest wyłączenie odpowiedzialności Wykonawcy za przekroczenie terminów umownych z przyczyn od niego niezależnych.</w:t>
      </w:r>
    </w:p>
    <w:p w:rsidR="006E7307" w:rsidRPr="006E7307" w:rsidRDefault="006E7307" w:rsidP="006E7307">
      <w:pPr>
        <w:suppressAutoHyphens w:val="0"/>
        <w:spacing w:line="276" w:lineRule="auto"/>
        <w:contextualSpacing/>
        <w:rPr>
          <w:rFonts w:ascii="Calibri" w:hAnsi="Calibri" w:cs="Calibri"/>
          <w:sz w:val="22"/>
          <w:szCs w:val="22"/>
          <w:lang w:eastAsia="en-US"/>
        </w:rPr>
      </w:pPr>
    </w:p>
    <w:p w:rsidR="006E7307" w:rsidRPr="006E7307" w:rsidRDefault="006E7307" w:rsidP="006E7307">
      <w:pPr>
        <w:numPr>
          <w:ilvl w:val="0"/>
          <w:numId w:val="23"/>
        </w:numPr>
        <w:tabs>
          <w:tab w:val="left" w:pos="0"/>
          <w:tab w:val="center" w:pos="4536"/>
          <w:tab w:val="right" w:pos="9072"/>
        </w:tabs>
        <w:suppressAutoHyphens w:val="0"/>
        <w:spacing w:line="276" w:lineRule="auto"/>
        <w:ind w:left="0"/>
        <w:contextualSpacing/>
        <w:jc w:val="both"/>
        <w:rPr>
          <w:rFonts w:ascii="Calibri" w:hAnsi="Calibri" w:cs="Calibri"/>
          <w:b/>
          <w:sz w:val="22"/>
          <w:szCs w:val="22"/>
          <w:lang w:eastAsia="en-US"/>
        </w:rPr>
      </w:pPr>
      <w:r w:rsidRPr="006E7307">
        <w:rPr>
          <w:rFonts w:ascii="Calibri" w:hAnsi="Calibri" w:cs="Calibri"/>
          <w:b/>
          <w:sz w:val="22"/>
          <w:szCs w:val="22"/>
          <w:lang w:eastAsia="en-US"/>
        </w:rPr>
        <w:t xml:space="preserve">SIWZ – załącznik 9 „umowa -wzór” § 17 ust. 2 pkt. 2) – 5). </w:t>
      </w:r>
    </w:p>
    <w:p w:rsidR="006E7307" w:rsidRPr="006E7307" w:rsidRDefault="006E7307" w:rsidP="006E7307">
      <w:pPr>
        <w:tabs>
          <w:tab w:val="left" w:pos="0"/>
          <w:tab w:val="center" w:pos="4536"/>
          <w:tab w:val="right" w:pos="9072"/>
        </w:tabs>
        <w:suppressAutoHyphens w:val="0"/>
        <w:spacing w:line="276" w:lineRule="auto"/>
        <w:contextualSpacing/>
        <w:jc w:val="both"/>
        <w:rPr>
          <w:rFonts w:ascii="Calibri" w:hAnsi="Calibri" w:cs="Calibri"/>
          <w:sz w:val="22"/>
          <w:szCs w:val="22"/>
          <w:lang w:eastAsia="en-US"/>
        </w:rPr>
      </w:pPr>
      <w:r w:rsidRPr="006E7307">
        <w:rPr>
          <w:rFonts w:ascii="Calibri" w:hAnsi="Calibri" w:cs="Calibri"/>
          <w:b/>
          <w:sz w:val="22"/>
          <w:szCs w:val="22"/>
          <w:lang w:eastAsia="en-US"/>
        </w:rPr>
        <w:t>P</w:t>
      </w:r>
      <w:r w:rsidRPr="006E7307">
        <w:rPr>
          <w:rFonts w:ascii="Calibri" w:hAnsi="Calibri" w:cs="Calibri"/>
          <w:sz w:val="22"/>
          <w:szCs w:val="22"/>
          <w:lang w:eastAsia="en-US"/>
        </w:rPr>
        <w:t>rosimy o zmianę słowa „opóźnienia” występującego w zapisach zawartych w § 17 ust.2 pkt 2)- 5) na słowo „zwłoki”. Zgodnie z art. 476 kodeksu cywilnego, Wykonawca może odpowiadać jedynie za zwłokę, czyli za opóźnienie, za które ponosi odpowiedzialność.</w:t>
      </w:r>
    </w:p>
    <w:p w:rsidR="006E7307" w:rsidRPr="006E7307" w:rsidRDefault="006E7307" w:rsidP="006E7307">
      <w:pPr>
        <w:tabs>
          <w:tab w:val="left" w:pos="567"/>
          <w:tab w:val="center" w:pos="4536"/>
          <w:tab w:val="right" w:pos="9072"/>
        </w:tabs>
        <w:suppressAutoHyphens w:val="0"/>
        <w:spacing w:line="276" w:lineRule="auto"/>
        <w:contextualSpacing/>
        <w:jc w:val="both"/>
        <w:rPr>
          <w:rFonts w:ascii="Calibri" w:hAnsi="Calibri" w:cs="Calibri"/>
          <w:sz w:val="22"/>
          <w:szCs w:val="22"/>
          <w:lang w:eastAsia="en-US"/>
        </w:rPr>
      </w:pPr>
    </w:p>
    <w:p w:rsidR="006E7307" w:rsidRPr="006E7307" w:rsidRDefault="006E7307" w:rsidP="006E7307">
      <w:pPr>
        <w:numPr>
          <w:ilvl w:val="0"/>
          <w:numId w:val="23"/>
        </w:numPr>
        <w:tabs>
          <w:tab w:val="left" w:pos="0"/>
          <w:tab w:val="center" w:pos="4536"/>
          <w:tab w:val="right" w:pos="9072"/>
        </w:tabs>
        <w:suppressAutoHyphens w:val="0"/>
        <w:spacing w:line="276" w:lineRule="auto"/>
        <w:ind w:left="0"/>
        <w:contextualSpacing/>
        <w:jc w:val="both"/>
        <w:rPr>
          <w:rFonts w:ascii="Calibri" w:hAnsi="Calibri" w:cs="Calibri"/>
          <w:b/>
          <w:sz w:val="22"/>
          <w:szCs w:val="22"/>
          <w:lang w:eastAsia="en-US"/>
        </w:rPr>
      </w:pPr>
      <w:r w:rsidRPr="006E7307">
        <w:rPr>
          <w:rFonts w:ascii="Calibri" w:hAnsi="Calibri" w:cs="Calibri"/>
          <w:b/>
          <w:sz w:val="22"/>
          <w:szCs w:val="22"/>
          <w:lang w:eastAsia="en-US"/>
        </w:rPr>
        <w:t xml:space="preserve">SIWZ – załącznik 9 „umowa -wzór” § 17 ust. 2 pkt. 5). </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 uwagi na fakt, iż realizacja świadczeń gwarancyjnych jest jednym z wielu elementów przedmiotu zamówienia zwracamy się do Zamawiającego z prośbą o zmianę treści zapisu § 17 ust. 2 pkt 5) na poniższą:</w:t>
      </w:r>
    </w:p>
    <w:p w:rsidR="006E7307" w:rsidRPr="006E7307" w:rsidRDefault="006E7307" w:rsidP="006E7307">
      <w:pPr>
        <w:suppressAutoHyphens w:val="0"/>
        <w:autoSpaceDE w:val="0"/>
        <w:autoSpaceDN w:val="0"/>
        <w:adjustRightInd w:val="0"/>
        <w:spacing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„za zwłokę w usunięciu wad stwierdzonych lub ujawnionych w okresie gwarancji jakości </w:t>
      </w:r>
      <w:r w:rsidRPr="006E7307">
        <w:rPr>
          <w:rFonts w:ascii="Calibri" w:eastAsia="Calibri" w:hAnsi="Calibri" w:cs="Calibri"/>
          <w:color w:val="000000"/>
          <w:sz w:val="22"/>
          <w:szCs w:val="22"/>
          <w:lang w:eastAsia="en-US"/>
        </w:rPr>
        <w:t xml:space="preserve">w </w:t>
      </w:r>
      <w:r w:rsidRPr="006E7307">
        <w:rPr>
          <w:rFonts w:ascii="Calibri" w:eastAsia="Calibri" w:hAnsi="Calibri" w:cs="Calibri"/>
          <w:color w:val="000000"/>
          <w:sz w:val="22"/>
          <w:szCs w:val="22"/>
          <w:u w:val="single"/>
          <w:lang w:eastAsia="en-US"/>
        </w:rPr>
        <w:t>wysokości 0,005 %</w:t>
      </w:r>
      <w:r w:rsidRPr="006E7307">
        <w:rPr>
          <w:rFonts w:ascii="Calibri" w:eastAsia="Calibri" w:hAnsi="Calibri" w:cs="Calibri"/>
          <w:color w:val="000000"/>
          <w:sz w:val="22"/>
          <w:szCs w:val="22"/>
          <w:lang w:eastAsia="en-US"/>
        </w:rPr>
        <w:t xml:space="preserve"> wynagrodzenia ryczałtowego netto określonego w § 14 ust. 1 umowy za każdy dzień zwłoki w stosunku do terminów ustalonych w </w:t>
      </w:r>
      <w:r w:rsidRPr="006E7307">
        <w:rPr>
          <w:rFonts w:ascii="Calibri" w:eastAsia="Calibri" w:hAnsi="Calibri" w:cs="Calibri"/>
          <w:color w:val="000000"/>
          <w:sz w:val="22"/>
          <w:szCs w:val="22"/>
          <w:u w:val="single"/>
          <w:lang w:eastAsia="en-US"/>
        </w:rPr>
        <w:t>§ 15 ust. 7 i ust. 9</w:t>
      </w:r>
      <w:r w:rsidRPr="006E7307">
        <w:rPr>
          <w:rFonts w:ascii="Calibri" w:eastAsia="Calibri" w:hAnsi="Calibri" w:cs="Calibri"/>
          <w:color w:val="000000"/>
          <w:sz w:val="22"/>
          <w:szCs w:val="22"/>
          <w:lang w:eastAsia="en-US"/>
        </w:rPr>
        <w:t xml:space="preserve"> umowy.”</w:t>
      </w:r>
    </w:p>
    <w:p w:rsidR="006E7307" w:rsidRPr="006E7307" w:rsidRDefault="006E7307" w:rsidP="006E7307">
      <w:pPr>
        <w:suppressAutoHyphens w:val="0"/>
        <w:spacing w:line="276" w:lineRule="auto"/>
        <w:contextualSpacing/>
        <w:rPr>
          <w:rFonts w:ascii="Calibri" w:hAnsi="Calibri" w:cs="Calibri"/>
          <w:sz w:val="22"/>
          <w:szCs w:val="22"/>
          <w:lang w:eastAsia="en-US"/>
        </w:rPr>
      </w:pPr>
    </w:p>
    <w:p w:rsidR="006E7307" w:rsidRPr="006E7307" w:rsidRDefault="006E7307" w:rsidP="006E7307">
      <w:pPr>
        <w:numPr>
          <w:ilvl w:val="0"/>
          <w:numId w:val="23"/>
        </w:numPr>
        <w:tabs>
          <w:tab w:val="left" w:pos="0"/>
          <w:tab w:val="center" w:pos="4536"/>
          <w:tab w:val="right" w:pos="9072"/>
        </w:tabs>
        <w:suppressAutoHyphens w:val="0"/>
        <w:spacing w:line="276" w:lineRule="auto"/>
        <w:ind w:left="0"/>
        <w:contextualSpacing/>
        <w:jc w:val="both"/>
        <w:rPr>
          <w:rFonts w:ascii="Calibri" w:hAnsi="Calibri" w:cs="Calibri"/>
          <w:b/>
          <w:sz w:val="22"/>
          <w:szCs w:val="22"/>
          <w:lang w:eastAsia="en-US"/>
        </w:rPr>
      </w:pPr>
      <w:r w:rsidRPr="006E7307">
        <w:rPr>
          <w:rFonts w:ascii="Calibri" w:hAnsi="Calibri" w:cs="Calibri"/>
          <w:b/>
          <w:sz w:val="22"/>
          <w:szCs w:val="22"/>
          <w:lang w:eastAsia="en-US"/>
        </w:rPr>
        <w:t>SIWZ – załącznik 9 „umowa -wzór” § 17 ust. 5.</w:t>
      </w:r>
    </w:p>
    <w:p w:rsidR="006E7307" w:rsidRPr="006E7307" w:rsidRDefault="006E7307" w:rsidP="006E7307">
      <w:pPr>
        <w:tabs>
          <w:tab w:val="left" w:pos="567"/>
          <w:tab w:val="center" w:pos="4536"/>
          <w:tab w:val="right" w:pos="9072"/>
        </w:tabs>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 xml:space="preserve">Zgodnie z art. 498 § 1 </w:t>
      </w:r>
      <w:proofErr w:type="spellStart"/>
      <w:r w:rsidRPr="006E7307">
        <w:rPr>
          <w:rFonts w:ascii="Calibri" w:hAnsi="Calibri" w:cs="Calibri"/>
          <w:sz w:val="22"/>
          <w:szCs w:val="22"/>
          <w:lang w:eastAsia="en-US"/>
        </w:rPr>
        <w:t>kc</w:t>
      </w:r>
      <w:proofErr w:type="spellEnd"/>
      <w:r w:rsidRPr="006E7307">
        <w:rPr>
          <w:rFonts w:ascii="Calibri" w:hAnsi="Calibri" w:cs="Calibri"/>
          <w:sz w:val="22"/>
          <w:szCs w:val="22"/>
          <w:lang w:eastAsia="en-US"/>
        </w:rPr>
        <w:t xml:space="preserve"> potrącenie może dotyczyć wyłącznie wierzytelności wymagalnych. W związku z powyższym Zamawiający proszony jest o wykreślenie treści w brzmieniu: </w:t>
      </w:r>
      <w:r w:rsidRPr="006E7307">
        <w:rPr>
          <w:rFonts w:ascii="Calibri" w:hAnsi="Calibri" w:cs="Calibri"/>
          <w:i/>
          <w:sz w:val="22"/>
          <w:szCs w:val="22"/>
          <w:lang w:eastAsia="en-US"/>
        </w:rPr>
        <w:t>„(w tym niewymagalnych)</w:t>
      </w:r>
      <w:r w:rsidRPr="006E7307">
        <w:rPr>
          <w:rFonts w:ascii="Calibri" w:hAnsi="Calibri" w:cs="Calibri"/>
          <w:sz w:val="22"/>
          <w:szCs w:val="22"/>
          <w:lang w:eastAsia="en-US"/>
        </w:rPr>
        <w:t>”.</w:t>
      </w:r>
    </w:p>
    <w:p w:rsidR="006E7307" w:rsidRPr="006E7307" w:rsidRDefault="006E7307" w:rsidP="006E7307">
      <w:pPr>
        <w:tabs>
          <w:tab w:val="left" w:pos="567"/>
          <w:tab w:val="center" w:pos="4536"/>
          <w:tab w:val="right" w:pos="9072"/>
        </w:tabs>
        <w:suppressAutoHyphens w:val="0"/>
        <w:spacing w:line="276" w:lineRule="auto"/>
        <w:contextualSpacing/>
        <w:jc w:val="both"/>
        <w:rPr>
          <w:rFonts w:ascii="Calibri" w:hAnsi="Calibri" w:cs="Calibri"/>
          <w:sz w:val="22"/>
          <w:szCs w:val="22"/>
          <w:lang w:eastAsia="en-US"/>
        </w:rPr>
      </w:pPr>
    </w:p>
    <w:p w:rsidR="006E7307" w:rsidRPr="006E7307" w:rsidRDefault="006E7307" w:rsidP="006E7307">
      <w:pPr>
        <w:numPr>
          <w:ilvl w:val="0"/>
          <w:numId w:val="23"/>
        </w:numPr>
        <w:tabs>
          <w:tab w:val="left" w:pos="0"/>
          <w:tab w:val="center" w:pos="4536"/>
          <w:tab w:val="right" w:pos="9072"/>
        </w:tabs>
        <w:suppressAutoHyphens w:val="0"/>
        <w:spacing w:line="276" w:lineRule="auto"/>
        <w:ind w:left="0"/>
        <w:contextualSpacing/>
        <w:jc w:val="both"/>
        <w:rPr>
          <w:rFonts w:ascii="Calibri" w:hAnsi="Calibri" w:cs="Calibri"/>
          <w:b/>
          <w:sz w:val="22"/>
          <w:szCs w:val="22"/>
          <w:lang w:eastAsia="en-US"/>
        </w:rPr>
      </w:pPr>
      <w:r w:rsidRPr="006E7307">
        <w:rPr>
          <w:rFonts w:ascii="Calibri" w:hAnsi="Calibri" w:cs="Calibri"/>
          <w:b/>
          <w:sz w:val="22"/>
          <w:szCs w:val="22"/>
          <w:lang w:eastAsia="en-US"/>
        </w:rPr>
        <w:t xml:space="preserve">SIWZ – załącznik 9 „umowa -wzór” § 17 ust. 6. </w:t>
      </w:r>
    </w:p>
    <w:p w:rsidR="006E7307" w:rsidRPr="006E7307" w:rsidRDefault="006E7307" w:rsidP="006E7307">
      <w:pPr>
        <w:tabs>
          <w:tab w:val="left" w:pos="567"/>
          <w:tab w:val="center" w:pos="4536"/>
          <w:tab w:val="right" w:pos="9072"/>
        </w:tabs>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Mając na uwadze wysokość kar umownych, ich zakres oraz zastrzeżone prawo dla Zamawiającego prawo do dochodzenia odszkodowania uzupełniającego Zamawiający proszony jest o wykreślenie treści w brzmieniu: „</w:t>
      </w:r>
      <w:r w:rsidRPr="006E7307">
        <w:rPr>
          <w:rFonts w:ascii="Calibri" w:hAnsi="Calibri" w:cs="Calibri"/>
          <w:i/>
          <w:sz w:val="22"/>
          <w:szCs w:val="22"/>
          <w:lang w:eastAsia="en-US"/>
        </w:rPr>
        <w:t>(kumulacja kar)</w:t>
      </w:r>
      <w:r w:rsidRPr="006E7307">
        <w:rPr>
          <w:rFonts w:ascii="Calibri" w:hAnsi="Calibri" w:cs="Calibri"/>
          <w:sz w:val="22"/>
          <w:szCs w:val="22"/>
          <w:lang w:eastAsia="en-US"/>
        </w:rPr>
        <w:t>”.</w:t>
      </w:r>
    </w:p>
    <w:p w:rsidR="006E7307" w:rsidRPr="006E7307" w:rsidRDefault="006E7307" w:rsidP="006E7307">
      <w:pPr>
        <w:tabs>
          <w:tab w:val="left" w:pos="567"/>
          <w:tab w:val="center" w:pos="4536"/>
          <w:tab w:val="right" w:pos="9072"/>
        </w:tabs>
        <w:suppressAutoHyphens w:val="0"/>
        <w:spacing w:line="276" w:lineRule="auto"/>
        <w:contextualSpacing/>
        <w:jc w:val="both"/>
        <w:rPr>
          <w:rFonts w:ascii="Calibri" w:hAnsi="Calibri" w:cs="Calibri"/>
          <w:sz w:val="22"/>
          <w:szCs w:val="22"/>
          <w:lang w:eastAsia="en-US"/>
        </w:rPr>
      </w:pPr>
    </w:p>
    <w:p w:rsidR="006E7307" w:rsidRPr="006E7307" w:rsidRDefault="006E7307" w:rsidP="006E7307">
      <w:pPr>
        <w:numPr>
          <w:ilvl w:val="0"/>
          <w:numId w:val="23"/>
        </w:numPr>
        <w:tabs>
          <w:tab w:val="left" w:pos="0"/>
          <w:tab w:val="center" w:pos="4536"/>
          <w:tab w:val="right" w:pos="9072"/>
        </w:tabs>
        <w:suppressAutoHyphens w:val="0"/>
        <w:spacing w:line="276" w:lineRule="auto"/>
        <w:ind w:left="0"/>
        <w:contextualSpacing/>
        <w:jc w:val="both"/>
        <w:rPr>
          <w:rFonts w:ascii="Calibri" w:hAnsi="Calibri" w:cs="Calibri"/>
          <w:b/>
          <w:sz w:val="22"/>
          <w:szCs w:val="22"/>
          <w:lang w:eastAsia="en-US"/>
        </w:rPr>
      </w:pPr>
      <w:r w:rsidRPr="006E7307">
        <w:rPr>
          <w:rFonts w:ascii="Calibri" w:hAnsi="Calibri" w:cs="Calibri"/>
          <w:b/>
          <w:sz w:val="22"/>
          <w:szCs w:val="22"/>
          <w:lang w:eastAsia="en-US"/>
        </w:rPr>
        <w:t xml:space="preserve">SIWZ – załącznik 9 „umowa -wzór” § 17. </w:t>
      </w:r>
    </w:p>
    <w:p w:rsidR="006E7307" w:rsidRPr="006E7307" w:rsidRDefault="006E7307" w:rsidP="006E7307">
      <w:pPr>
        <w:suppressAutoHyphens w:val="0"/>
        <w:spacing w:after="200" w:line="276" w:lineRule="auto"/>
        <w:contextualSpacing/>
        <w:jc w:val="both"/>
        <w:rPr>
          <w:rFonts w:ascii="Calibri" w:eastAsia="Calibri" w:hAnsi="Calibri" w:cs="Calibri"/>
          <w:sz w:val="22"/>
          <w:szCs w:val="22"/>
          <w:lang w:eastAsia="en-US"/>
        </w:rPr>
      </w:pPr>
      <w:r w:rsidRPr="006E7307">
        <w:rPr>
          <w:rFonts w:ascii="Calibri" w:eastAsia="Calibri" w:hAnsi="Calibri" w:cs="Calibri"/>
          <w:sz w:val="22"/>
          <w:szCs w:val="22"/>
          <w:lang w:eastAsia="en-US"/>
        </w:rPr>
        <w:t xml:space="preserve">Prosimy o uzupełnienie postanowień umowy § 17 o zapis nowego ustępu o następującym brzmieniu: </w:t>
      </w:r>
      <w:r w:rsidRPr="006E7307">
        <w:rPr>
          <w:rFonts w:ascii="Calibri" w:eastAsia="Calibri" w:hAnsi="Calibri" w:cs="Calibri"/>
          <w:sz w:val="22"/>
          <w:szCs w:val="22"/>
          <w:lang w:eastAsia="en-US"/>
        </w:rPr>
        <w:br/>
        <w:t>„Całkowita suma kar umownych naliczonych na podstawie niniejszej umowy nie przekroczy 10% wynagrodzenia ryczałtowego brutto określonego w § 14 ust. 1 umowy."</w:t>
      </w:r>
      <w:r w:rsidRPr="006E7307">
        <w:rPr>
          <w:rFonts w:ascii="Calibri" w:eastAsia="Calibri" w:hAnsi="Calibri" w:cs="Calibri"/>
          <w:sz w:val="22"/>
          <w:szCs w:val="22"/>
          <w:lang w:eastAsia="en-US"/>
        </w:rPr>
        <w:br/>
        <w:t xml:space="preserve">Wskazanie maksymalnej wysokości kar pozwala Wykonawcom na oszacowanie ryzyka kontraktowego związanego z karami umownymi. W orzecznictwie ugruntował się pogląd, iż warunki umowy poprzez niedookreślenie górnej granicy wysokości kar umownych naruszają zasady współżycia społecznego, a w świetle art. 5 </w:t>
      </w:r>
      <w:proofErr w:type="spellStart"/>
      <w:r w:rsidRPr="006E7307">
        <w:rPr>
          <w:rFonts w:ascii="Calibri" w:eastAsia="Calibri" w:hAnsi="Calibri" w:cs="Calibri"/>
          <w:sz w:val="22"/>
          <w:szCs w:val="22"/>
          <w:lang w:eastAsia="en-US"/>
        </w:rPr>
        <w:t>kc</w:t>
      </w:r>
      <w:proofErr w:type="spellEnd"/>
      <w:r w:rsidRPr="006E7307">
        <w:rPr>
          <w:rFonts w:ascii="Calibri" w:eastAsia="Calibri" w:hAnsi="Calibri" w:cs="Calibri"/>
          <w:sz w:val="22"/>
          <w:szCs w:val="22"/>
          <w:lang w:eastAsia="en-US"/>
        </w:rPr>
        <w:t xml:space="preserve"> „nie można czynić ze swego prawa użytku, który by był sprzeczny ze społeczno-gospodarczym przeznaczeniem tego prawa lub zasadami współżycia społecznego”. W związku z powyższym zgodnie z art. 5 </w:t>
      </w:r>
      <w:proofErr w:type="spellStart"/>
      <w:r w:rsidRPr="006E7307">
        <w:rPr>
          <w:rFonts w:ascii="Calibri" w:eastAsia="Calibri" w:hAnsi="Calibri" w:cs="Calibri"/>
          <w:sz w:val="22"/>
          <w:szCs w:val="22"/>
          <w:lang w:eastAsia="en-US"/>
        </w:rPr>
        <w:t>kc</w:t>
      </w:r>
      <w:proofErr w:type="spellEnd"/>
      <w:r w:rsidRPr="006E7307">
        <w:rPr>
          <w:rFonts w:ascii="Calibri" w:eastAsia="Calibri" w:hAnsi="Calibri" w:cs="Calibri"/>
          <w:sz w:val="22"/>
          <w:szCs w:val="22"/>
          <w:lang w:eastAsia="en-US"/>
        </w:rPr>
        <w:t xml:space="preserve"> takie działanie uprawnionego nie jest uważane za wykonywanie prawa i nie korzysta z ochrony. Niewątpliwie potwierdza tę zasadę art. 58 § 2 </w:t>
      </w:r>
      <w:proofErr w:type="spellStart"/>
      <w:r w:rsidRPr="006E7307">
        <w:rPr>
          <w:rFonts w:ascii="Calibri" w:eastAsia="Calibri" w:hAnsi="Calibri" w:cs="Calibri"/>
          <w:sz w:val="22"/>
          <w:szCs w:val="22"/>
          <w:lang w:eastAsia="en-US"/>
        </w:rPr>
        <w:t>kc</w:t>
      </w:r>
      <w:proofErr w:type="spellEnd"/>
      <w:r w:rsidRPr="006E7307">
        <w:rPr>
          <w:rFonts w:ascii="Calibri" w:eastAsia="Calibri" w:hAnsi="Calibri" w:cs="Calibri"/>
          <w:sz w:val="22"/>
          <w:szCs w:val="22"/>
          <w:lang w:eastAsia="en-US"/>
        </w:rPr>
        <w:t>, który stanowi również, wprost, że „nieważna jest czynność prawna sprzeczna z zasadami współżycia społecznego”. Tak więc uzasadnionym się wydaje fakt określenia górnej granicy możliwości naliczania kar.</w:t>
      </w:r>
    </w:p>
    <w:p w:rsidR="006E7307" w:rsidRPr="006E7307" w:rsidRDefault="006E7307" w:rsidP="006E7307">
      <w:pPr>
        <w:numPr>
          <w:ilvl w:val="0"/>
          <w:numId w:val="23"/>
        </w:numPr>
        <w:tabs>
          <w:tab w:val="left" w:pos="0"/>
          <w:tab w:val="center" w:pos="4536"/>
          <w:tab w:val="right" w:pos="9072"/>
        </w:tabs>
        <w:suppressAutoHyphens w:val="0"/>
        <w:spacing w:line="276" w:lineRule="auto"/>
        <w:ind w:left="0"/>
        <w:contextualSpacing/>
        <w:jc w:val="both"/>
        <w:rPr>
          <w:rFonts w:ascii="Calibri" w:hAnsi="Calibri" w:cs="Calibri"/>
          <w:b/>
          <w:sz w:val="22"/>
          <w:szCs w:val="22"/>
          <w:lang w:eastAsia="en-US"/>
        </w:rPr>
      </w:pPr>
      <w:r w:rsidRPr="006E7307">
        <w:rPr>
          <w:rFonts w:ascii="Calibri" w:hAnsi="Calibri" w:cs="Calibri"/>
          <w:b/>
          <w:sz w:val="22"/>
          <w:szCs w:val="22"/>
          <w:lang w:eastAsia="en-US"/>
        </w:rPr>
        <w:t>SIWZ – załącznik 9 „umowa -wzór” § 18 ust. 2 pkt 1) w zw. z § 6 ust. 1 pkt 1) oraz § 13 pkt 1 Umowy.</w:t>
      </w:r>
    </w:p>
    <w:p w:rsidR="006E7307" w:rsidRPr="006E7307" w:rsidRDefault="006E7307" w:rsidP="006E7307">
      <w:pPr>
        <w:tabs>
          <w:tab w:val="left" w:pos="0"/>
          <w:tab w:val="center" w:pos="4536"/>
          <w:tab w:val="right" w:pos="9072"/>
        </w:tabs>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 xml:space="preserve">Zamawiający proszony jest o potwierdzenie, że w przypadku zmiany terminu realizacji przedmiotu umowy, wiek sprzętu (8 miesięcy przez dostawą/planowaną dostawą) liczony będzie z uwzględnieniem pierwotnie określonych terminów realizacji umowy. </w:t>
      </w:r>
    </w:p>
    <w:p w:rsidR="006E7307" w:rsidRPr="006E7307" w:rsidRDefault="006E7307" w:rsidP="006E7307">
      <w:pPr>
        <w:tabs>
          <w:tab w:val="left" w:pos="0"/>
          <w:tab w:val="center" w:pos="4536"/>
          <w:tab w:val="right" w:pos="9072"/>
        </w:tabs>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lastRenderedPageBreak/>
        <w:t>Sprzęt stanowiący przedmiot umowy wymaga zamówienia u producenta i musi uwzględniać cykl produkcyjny, przy określonym przez Zamawiającego terminie realizacji umowy na 5 miesięcy od dnia zawarcia umowy, Wykonawca zobowiązany jest zamówić sprzęt niezwłocznie po zawarciu umowy bez możliwości późniejszej modyfikacji zamówienia.</w:t>
      </w:r>
    </w:p>
    <w:p w:rsidR="006E7307" w:rsidRPr="006E7307" w:rsidRDefault="006E7307" w:rsidP="006E7307">
      <w:pPr>
        <w:tabs>
          <w:tab w:val="left" w:pos="0"/>
          <w:tab w:val="center" w:pos="4536"/>
          <w:tab w:val="right" w:pos="9072"/>
        </w:tabs>
        <w:suppressAutoHyphens w:val="0"/>
        <w:spacing w:line="276" w:lineRule="auto"/>
        <w:contextualSpacing/>
        <w:jc w:val="both"/>
        <w:rPr>
          <w:rFonts w:ascii="Calibri" w:hAnsi="Calibri" w:cs="Calibri"/>
          <w:b/>
          <w:sz w:val="22"/>
          <w:szCs w:val="22"/>
          <w:lang w:eastAsia="en-US"/>
        </w:rPr>
      </w:pPr>
    </w:p>
    <w:p w:rsidR="006E7307" w:rsidRPr="006E7307" w:rsidRDefault="006E7307" w:rsidP="006E7307">
      <w:pPr>
        <w:numPr>
          <w:ilvl w:val="0"/>
          <w:numId w:val="23"/>
        </w:numPr>
        <w:suppressAutoHyphens w:val="0"/>
        <w:spacing w:line="276" w:lineRule="auto"/>
        <w:ind w:left="0"/>
        <w:contextualSpacing/>
        <w:jc w:val="both"/>
        <w:rPr>
          <w:rFonts w:ascii="Calibri" w:eastAsia="Calibri" w:hAnsi="Calibri" w:cs="Calibri"/>
          <w:b/>
          <w:sz w:val="22"/>
          <w:szCs w:val="22"/>
          <w:lang w:eastAsia="en-US"/>
        </w:rPr>
      </w:pPr>
      <w:r w:rsidRPr="006E7307">
        <w:rPr>
          <w:rFonts w:ascii="Calibri" w:eastAsia="Calibri" w:hAnsi="Calibri" w:cs="Calibri"/>
          <w:b/>
          <w:sz w:val="22"/>
          <w:szCs w:val="22"/>
          <w:lang w:eastAsia="en-US"/>
        </w:rPr>
        <w:t>Załącznik nr 9 do SIWZ – Wzór umowy § 19 ust. 3 pkt 2).</w:t>
      </w:r>
    </w:p>
    <w:p w:rsidR="006E7307" w:rsidRPr="006E7307" w:rsidRDefault="006E7307" w:rsidP="006E7307">
      <w:pPr>
        <w:suppressAutoHyphens w:val="0"/>
        <w:autoSpaceDE w:val="0"/>
        <w:autoSpaceDN w:val="0"/>
        <w:adjustRightInd w:val="0"/>
        <w:spacing w:line="276" w:lineRule="auto"/>
        <w:contextualSpacing/>
        <w:jc w:val="both"/>
        <w:rPr>
          <w:rFonts w:ascii="Calibri" w:eastAsia="Calibri" w:hAnsi="Calibri" w:cs="Calibri"/>
          <w:i/>
          <w:sz w:val="22"/>
          <w:szCs w:val="22"/>
          <w:lang w:eastAsia="en-US"/>
        </w:rPr>
      </w:pPr>
      <w:r w:rsidRPr="006E7307">
        <w:rPr>
          <w:rFonts w:ascii="Calibri" w:eastAsia="Calibri" w:hAnsi="Calibri" w:cs="Calibri"/>
          <w:sz w:val="22"/>
          <w:szCs w:val="22"/>
          <w:lang w:eastAsia="en-US"/>
        </w:rPr>
        <w:t>Zgodnie z §19 ust. 3 pkt 2 wzoru umowy, „</w:t>
      </w:r>
      <w:r w:rsidRPr="006E7307">
        <w:rPr>
          <w:rFonts w:ascii="Calibri" w:eastAsia="Calibri" w:hAnsi="Calibri" w:cs="Calibri"/>
          <w:i/>
          <w:sz w:val="22"/>
          <w:szCs w:val="22"/>
          <w:lang w:eastAsia="en-US"/>
        </w:rPr>
        <w:t xml:space="preserve">Zamawiający ma również prawo odstąpić od umowy ze skutkiem natychmiastowym z przyczyn leżących po stronie Wykonawcy, jeśli: </w:t>
      </w:r>
    </w:p>
    <w:p w:rsidR="006E7307" w:rsidRPr="006E7307" w:rsidRDefault="006E7307" w:rsidP="006E7307">
      <w:pPr>
        <w:suppressAutoHyphens w:val="0"/>
        <w:autoSpaceDE w:val="0"/>
        <w:autoSpaceDN w:val="0"/>
        <w:adjustRightInd w:val="0"/>
        <w:spacing w:line="276" w:lineRule="auto"/>
        <w:contextualSpacing/>
        <w:jc w:val="both"/>
        <w:rPr>
          <w:rFonts w:ascii="Calibri" w:hAnsi="Calibri" w:cs="Calibri"/>
          <w:sz w:val="22"/>
          <w:szCs w:val="22"/>
          <w:lang w:eastAsia="en-US"/>
        </w:rPr>
      </w:pPr>
      <w:r w:rsidRPr="006E7307">
        <w:rPr>
          <w:rFonts w:ascii="Calibri" w:hAnsi="Calibri" w:cs="Calibri"/>
          <w:i/>
          <w:sz w:val="22"/>
          <w:szCs w:val="22"/>
          <w:lang w:eastAsia="en-US"/>
        </w:rPr>
        <w:t>2) Wykonawca narusza postanowienia niniejszej umowy lub nie wykonuje zobowiązań z niej wynikających, a także realizuje umowę z naruszeniem obowiązujących przepisów prawa (…)”.</w:t>
      </w:r>
    </w:p>
    <w:p w:rsidR="006E7307" w:rsidRPr="006E7307" w:rsidRDefault="006E7307" w:rsidP="006E7307">
      <w:pPr>
        <w:suppressAutoHyphens w:val="0"/>
        <w:autoSpaceDE w:val="0"/>
        <w:autoSpaceDN w:val="0"/>
        <w:adjustRightInd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 xml:space="preserve">Zapis ten uznać należy za nieprecyzyjny oraz zbyt szeroki wobec braku określenia istotności oraz rodzaju naruszeń umowy uprawniających Zamawiającego do skorzystania z prawa odstąpienia. </w:t>
      </w:r>
    </w:p>
    <w:p w:rsidR="006E7307" w:rsidRPr="006E7307" w:rsidRDefault="006E7307" w:rsidP="006E7307">
      <w:pPr>
        <w:suppressAutoHyphens w:val="0"/>
        <w:autoSpaceDE w:val="0"/>
        <w:autoSpaceDN w:val="0"/>
        <w:adjustRightInd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Wnosimy o usunięcie pkt 2 w §19 ust. 3, ewentualnie o zmianę jego treści w następujący sposób: „</w:t>
      </w:r>
      <w:r w:rsidRPr="006E7307">
        <w:rPr>
          <w:rFonts w:ascii="Calibri" w:hAnsi="Calibri" w:cs="Calibri"/>
          <w:i/>
          <w:sz w:val="22"/>
          <w:szCs w:val="22"/>
          <w:lang w:eastAsia="en-US"/>
        </w:rPr>
        <w:t>Wykonawca w sposób rażący narusza postanowienia niniejszej umowy lub nie wykonuje zobowiązań z niej wynikających, a także realizuje umowę z naruszeniem obowiązujących przepisów prawa,</w:t>
      </w:r>
      <w:r w:rsidRPr="006E7307">
        <w:rPr>
          <w:rFonts w:ascii="Calibri" w:hAnsi="Calibri" w:cs="Calibri"/>
          <w:sz w:val="22"/>
          <w:szCs w:val="22"/>
          <w:lang w:eastAsia="en-US"/>
        </w:rPr>
        <w:t xml:space="preserve"> </w:t>
      </w:r>
      <w:r w:rsidRPr="006E7307">
        <w:rPr>
          <w:rFonts w:ascii="Calibri" w:hAnsi="Calibri" w:cs="Calibri"/>
          <w:i/>
          <w:sz w:val="22"/>
          <w:szCs w:val="22"/>
          <w:lang w:eastAsia="en-US"/>
        </w:rPr>
        <w:t>po uprzednim pisemnym wezwaniu Wykonawcy do zaniechania naruszeń wraz z wyznaczeniem odpowiedniego terminu</w:t>
      </w:r>
      <w:r w:rsidRPr="006E7307">
        <w:rPr>
          <w:rFonts w:ascii="Calibri" w:hAnsi="Calibri" w:cs="Calibri"/>
          <w:sz w:val="22"/>
          <w:szCs w:val="22"/>
          <w:lang w:eastAsia="en-US"/>
        </w:rPr>
        <w:t xml:space="preserve">”. </w:t>
      </w:r>
    </w:p>
    <w:p w:rsidR="006E7307" w:rsidRPr="006E7307" w:rsidRDefault="006E7307" w:rsidP="006E7307">
      <w:pPr>
        <w:suppressAutoHyphens w:val="0"/>
        <w:autoSpaceDE w:val="0"/>
        <w:autoSpaceDN w:val="0"/>
        <w:adjustRightInd w:val="0"/>
        <w:spacing w:line="276" w:lineRule="auto"/>
        <w:contextualSpacing/>
        <w:jc w:val="both"/>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hAnsi="Calibri" w:cs="Calibri"/>
          <w:b/>
          <w:bCs/>
          <w:sz w:val="22"/>
          <w:szCs w:val="22"/>
          <w:lang w:eastAsia="en-US"/>
        </w:rPr>
      </w:pPr>
      <w:r w:rsidRPr="006E7307">
        <w:rPr>
          <w:rFonts w:ascii="Calibri" w:hAnsi="Calibri" w:cs="Calibri"/>
          <w:b/>
          <w:bCs/>
          <w:sz w:val="22"/>
          <w:szCs w:val="22"/>
          <w:lang w:eastAsia="en-US"/>
        </w:rPr>
        <w:t xml:space="preserve"> SIWZ - Załącznik-1---1- WARUNKI GWARANCJI I SERWISU, lp. 5.</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Zapis w obecnym brzmieniu „5.Czas rozpoczęcia zdalnej diagnostyki za pomocą łącza internetowego do 1 godziny od zgłoszenia usterki w godzinach pracy serwisu”.</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Zwracamy się z prośbą o wydłużenie czasu do 4 godzin.</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 </w:t>
      </w:r>
    </w:p>
    <w:p w:rsidR="006E7307" w:rsidRPr="006E7307" w:rsidRDefault="006E7307" w:rsidP="006E7307">
      <w:pPr>
        <w:numPr>
          <w:ilvl w:val="0"/>
          <w:numId w:val="23"/>
        </w:numPr>
        <w:suppressAutoHyphens w:val="0"/>
        <w:spacing w:line="276" w:lineRule="auto"/>
        <w:ind w:left="0"/>
        <w:contextualSpacing/>
        <w:rPr>
          <w:rFonts w:ascii="Calibri" w:hAnsi="Calibri" w:cs="Calibri"/>
          <w:b/>
          <w:bCs/>
          <w:sz w:val="22"/>
          <w:szCs w:val="22"/>
          <w:lang w:eastAsia="en-US"/>
        </w:rPr>
      </w:pPr>
      <w:r w:rsidRPr="006E7307">
        <w:rPr>
          <w:rFonts w:ascii="Calibri" w:hAnsi="Calibri" w:cs="Calibri"/>
          <w:b/>
          <w:bCs/>
          <w:sz w:val="22"/>
          <w:szCs w:val="22"/>
          <w:lang w:eastAsia="en-US"/>
        </w:rPr>
        <w:t>SIWZ, Załącznik-1---1- WARUNKI GWARANCJI I SERWISU, lp. 6.</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Zapis w obecnym brzmieniu „6.Informacja zwrotna z planem działania rozwiązania problemu w ciągu 4 godzin od zgłoszenia usterki w godzinach pracy serwisu.”</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Zwracamy się z prośbą o wydłużenie czasu do 12 godzin.</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 </w:t>
      </w:r>
    </w:p>
    <w:p w:rsidR="006E7307" w:rsidRPr="006E7307" w:rsidRDefault="006E7307" w:rsidP="006E7307">
      <w:pPr>
        <w:numPr>
          <w:ilvl w:val="0"/>
          <w:numId w:val="23"/>
        </w:numPr>
        <w:suppressAutoHyphens w:val="0"/>
        <w:spacing w:line="276" w:lineRule="auto"/>
        <w:ind w:left="0"/>
        <w:contextualSpacing/>
        <w:rPr>
          <w:rFonts w:ascii="Calibri" w:hAnsi="Calibri" w:cs="Calibri"/>
          <w:b/>
          <w:bCs/>
          <w:sz w:val="22"/>
          <w:szCs w:val="22"/>
          <w:lang w:eastAsia="en-US"/>
        </w:rPr>
      </w:pPr>
      <w:r w:rsidRPr="006E7307">
        <w:rPr>
          <w:rFonts w:ascii="Calibri" w:hAnsi="Calibri" w:cs="Calibri"/>
          <w:b/>
          <w:bCs/>
          <w:sz w:val="22"/>
          <w:szCs w:val="22"/>
          <w:lang w:eastAsia="en-US"/>
        </w:rPr>
        <w:t>SIWZ, Załącznik-1---1- WARUNKI GWARANCJI I SERWISU, lp. 7.</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Zapis w obecnym brzmieniu „7.Gwarantowany czas rozpoczęcia naprawy do 16 godzin od przyjęcia zgłoszenia naprawy w godzinach pracy serwisu.”</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Zwracamy się z prośbą o wydłużenie czasu do 24 godzin w dni robocze. Jednocześnie informujemy, że termin 24 godzin odpowiada terminowi wskazanemu w załączniku nr 9 wzór umowy § 15 ust. 5, a obecne brzmienie lp.7 stanowi oczywistą sprzeczność zapisów załącznika nr 1.1 do SIWZ z zapisami zawartymi we wzorze umowy.</w:t>
      </w:r>
    </w:p>
    <w:p w:rsidR="006E7307" w:rsidRPr="006E7307" w:rsidRDefault="006E7307" w:rsidP="006E7307">
      <w:pPr>
        <w:suppressAutoHyphens w:val="0"/>
        <w:spacing w:line="276" w:lineRule="auto"/>
        <w:contextualSpacing/>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hAnsi="Calibri" w:cs="Calibri"/>
          <w:b/>
          <w:bCs/>
          <w:sz w:val="22"/>
          <w:szCs w:val="22"/>
          <w:lang w:eastAsia="en-US"/>
        </w:rPr>
      </w:pPr>
      <w:r w:rsidRPr="006E7307">
        <w:rPr>
          <w:rFonts w:ascii="Calibri" w:hAnsi="Calibri" w:cs="Calibri"/>
          <w:b/>
          <w:bCs/>
          <w:sz w:val="22"/>
          <w:szCs w:val="22"/>
          <w:lang w:eastAsia="en-US"/>
        </w:rPr>
        <w:t>SIWZ, Załącznik-1---1- WARUNKI GWARANCJI I SERWISU, lp. 8.</w:t>
      </w:r>
    </w:p>
    <w:p w:rsidR="006E7307" w:rsidRPr="006E7307" w:rsidRDefault="006E7307" w:rsidP="006E7307">
      <w:pPr>
        <w:suppressAutoHyphens w:val="0"/>
        <w:spacing w:line="276" w:lineRule="auto"/>
        <w:contextualSpacing/>
        <w:rPr>
          <w:rFonts w:ascii="Calibri" w:hAnsi="Calibri" w:cs="Calibri"/>
          <w:b/>
          <w:bCs/>
          <w:sz w:val="22"/>
          <w:szCs w:val="22"/>
          <w:lang w:eastAsia="en-US"/>
        </w:rPr>
      </w:pPr>
      <w:r w:rsidRPr="006E7307">
        <w:rPr>
          <w:rFonts w:ascii="Calibri" w:hAnsi="Calibri" w:cs="Calibri"/>
          <w:sz w:val="22"/>
          <w:szCs w:val="22"/>
          <w:lang w:eastAsia="en-US"/>
        </w:rPr>
        <w:t>Zapis w obecnym brzmieniu</w:t>
      </w:r>
      <w:r w:rsidRPr="006E7307">
        <w:rPr>
          <w:rFonts w:ascii="Calibri" w:hAnsi="Calibri" w:cs="Calibri"/>
          <w:b/>
          <w:bCs/>
          <w:sz w:val="22"/>
          <w:szCs w:val="22"/>
          <w:lang w:eastAsia="en-US"/>
        </w:rPr>
        <w:t xml:space="preserve"> </w:t>
      </w:r>
      <w:r w:rsidRPr="006E7307">
        <w:rPr>
          <w:rFonts w:ascii="Calibri" w:hAnsi="Calibri" w:cs="Calibri"/>
          <w:sz w:val="22"/>
          <w:szCs w:val="22"/>
          <w:lang w:eastAsia="en-US"/>
        </w:rPr>
        <w:t>„8.Gwarantowany czas usunięcia awarii w terminie do 72 godzin w dni robocze.”</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 xml:space="preserve">Zwracamy się z prośbą o wydłużenie czasu do 5 dni roboczych. Jednocześnie informujemy, że termin 5 dni odpowiada terminowi wskazanemu w załączniku nr 9 wzór umowy § 15 ust. 7, a obecne brzmienie lp.8 stanowi oczywistą sprzeczność zapisów załącznika nr 1.1 do SIWZ z zapisami zawartymi we wzorze umowy. </w:t>
      </w:r>
    </w:p>
    <w:p w:rsidR="006E7307" w:rsidRPr="006E7307" w:rsidRDefault="006E7307" w:rsidP="006E7307">
      <w:pPr>
        <w:suppressAutoHyphens w:val="0"/>
        <w:spacing w:line="276" w:lineRule="auto"/>
        <w:contextualSpacing/>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hAnsi="Calibri" w:cs="Calibri"/>
          <w:b/>
          <w:bCs/>
          <w:sz w:val="22"/>
          <w:szCs w:val="22"/>
          <w:lang w:eastAsia="en-US"/>
        </w:rPr>
      </w:pPr>
      <w:r w:rsidRPr="006E7307">
        <w:rPr>
          <w:rFonts w:ascii="Calibri" w:hAnsi="Calibri" w:cs="Calibri"/>
          <w:sz w:val="22"/>
          <w:szCs w:val="22"/>
          <w:lang w:eastAsia="en-US"/>
        </w:rPr>
        <w:t> </w:t>
      </w:r>
      <w:r w:rsidRPr="006E7307">
        <w:rPr>
          <w:rFonts w:ascii="Calibri" w:hAnsi="Calibri" w:cs="Calibri"/>
          <w:b/>
          <w:bCs/>
          <w:sz w:val="22"/>
          <w:szCs w:val="22"/>
          <w:lang w:eastAsia="en-US"/>
        </w:rPr>
        <w:t>SIWZ, Załącznik-1---1- WARUNKI GWARANCJI I SERWISU, lp. 9.</w:t>
      </w:r>
    </w:p>
    <w:p w:rsidR="006E7307" w:rsidRPr="006E7307" w:rsidRDefault="006E7307" w:rsidP="006E7307">
      <w:pPr>
        <w:suppressAutoHyphens w:val="0"/>
        <w:spacing w:line="276" w:lineRule="auto"/>
        <w:contextualSpacing/>
        <w:rPr>
          <w:rFonts w:ascii="Calibri" w:hAnsi="Calibri" w:cs="Calibri"/>
          <w:b/>
          <w:bCs/>
          <w:sz w:val="22"/>
          <w:szCs w:val="22"/>
          <w:lang w:eastAsia="en-US"/>
        </w:rPr>
      </w:pPr>
      <w:r w:rsidRPr="006E7307">
        <w:rPr>
          <w:rFonts w:ascii="Calibri" w:hAnsi="Calibri" w:cs="Calibri"/>
          <w:sz w:val="22"/>
          <w:szCs w:val="22"/>
          <w:lang w:eastAsia="en-US"/>
        </w:rPr>
        <w:t>Zwracamy się do Zamawiającego z prośbą o doprecyzowanie zapisów pkt. 9 poprzez określenie, iż sumaryczny czas niesprawności liczony jest oddzielnie dla każdego roku trwania gwarancji.</w:t>
      </w:r>
    </w:p>
    <w:p w:rsidR="006E7307" w:rsidRPr="006E7307" w:rsidRDefault="006E7307" w:rsidP="006E7307">
      <w:pPr>
        <w:suppressAutoHyphens w:val="0"/>
        <w:spacing w:line="276" w:lineRule="auto"/>
        <w:rPr>
          <w:rFonts w:ascii="Calibri" w:hAnsi="Calibri" w:cs="Calibri"/>
          <w:sz w:val="22"/>
          <w:szCs w:val="22"/>
          <w:lang w:eastAsia="en-US"/>
        </w:rPr>
      </w:pPr>
      <w:r w:rsidRPr="006E7307">
        <w:rPr>
          <w:rFonts w:ascii="Calibri" w:hAnsi="Calibri" w:cs="Calibri"/>
          <w:sz w:val="22"/>
          <w:szCs w:val="22"/>
          <w:lang w:eastAsia="en-US"/>
        </w:rPr>
        <w:t>Proponowany zapis:</w:t>
      </w:r>
    </w:p>
    <w:p w:rsidR="006E7307" w:rsidRPr="006E7307" w:rsidRDefault="006E7307" w:rsidP="006E7307">
      <w:pPr>
        <w:suppressAutoHyphens w:val="0"/>
        <w:spacing w:line="276" w:lineRule="auto"/>
        <w:rPr>
          <w:rFonts w:ascii="Calibri" w:hAnsi="Calibri" w:cs="Calibri"/>
          <w:sz w:val="22"/>
          <w:szCs w:val="22"/>
          <w:lang w:eastAsia="en-US"/>
        </w:rPr>
      </w:pPr>
      <w:r w:rsidRPr="006E7307">
        <w:rPr>
          <w:rFonts w:ascii="Calibri" w:hAnsi="Calibri" w:cs="Calibri"/>
          <w:sz w:val="22"/>
          <w:szCs w:val="22"/>
          <w:lang w:eastAsia="en-US"/>
        </w:rPr>
        <w:t>"Sumaryczny czas niesprawności dla aparatu nie przekroczy 20 dni roboczych w każdym roku trwania gwarancji."</w:t>
      </w:r>
    </w:p>
    <w:p w:rsidR="006E7307" w:rsidRPr="006E7307" w:rsidRDefault="006E7307" w:rsidP="006E7307">
      <w:pPr>
        <w:suppressAutoHyphens w:val="0"/>
        <w:spacing w:line="276" w:lineRule="auto"/>
        <w:contextualSpacing/>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hAnsi="Calibri" w:cs="Calibri"/>
          <w:b/>
          <w:bCs/>
          <w:sz w:val="22"/>
          <w:szCs w:val="22"/>
          <w:lang w:eastAsia="en-US"/>
        </w:rPr>
      </w:pPr>
      <w:r w:rsidRPr="006E7307">
        <w:rPr>
          <w:rFonts w:ascii="Calibri" w:hAnsi="Calibri" w:cs="Calibri"/>
          <w:b/>
          <w:bCs/>
          <w:sz w:val="22"/>
          <w:szCs w:val="22"/>
          <w:lang w:eastAsia="en-US"/>
        </w:rPr>
        <w:t>SIWZ, Załącznik-1---1- WARUNKI GWARANCJI I SERWISU, lp. 17.</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 xml:space="preserve">Zapis w obecnym brzmieniu „17. Po zakończeniu okresu gwarancji wykonawca  zobowiązany jest, w czasie eksploatacji aparatu, udzielać 12-to miesięcznej gwarancji na wszystkie części zamienne (w tym działa elektronowe, sekcje przyspieszające, półprzewodnikowe detektory obrazu, lampy </w:t>
      </w:r>
      <w:proofErr w:type="spellStart"/>
      <w:r w:rsidRPr="006E7307">
        <w:rPr>
          <w:rFonts w:ascii="Calibri" w:hAnsi="Calibri" w:cs="Calibri"/>
          <w:sz w:val="22"/>
          <w:szCs w:val="22"/>
          <w:lang w:eastAsia="en-US"/>
        </w:rPr>
        <w:t>rtg</w:t>
      </w:r>
      <w:proofErr w:type="spellEnd"/>
      <w:r w:rsidRPr="006E7307">
        <w:rPr>
          <w:rFonts w:ascii="Calibri" w:hAnsi="Calibri" w:cs="Calibri"/>
          <w:sz w:val="22"/>
          <w:szCs w:val="22"/>
          <w:lang w:eastAsia="en-US"/>
        </w:rPr>
        <w:t>) oraz co najmniej 6-cio miesięcznej gwarancji na wykonane usługi serwisowe.”</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Zwracamy się do Zamawiającego z prośbą o zmianę wymaganych terminów gwarancji na poniższe:</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1)gwarancja na części zamienne - 3 miesiące</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2)gwarancja na wykonane usługi serwisowe - 3 miesiące</w:t>
      </w:r>
    </w:p>
    <w:p w:rsidR="006E7307" w:rsidRPr="006E7307" w:rsidRDefault="006E7307" w:rsidP="006E7307">
      <w:pPr>
        <w:suppressAutoHyphens w:val="0"/>
        <w:spacing w:line="276" w:lineRule="auto"/>
        <w:rPr>
          <w:rFonts w:ascii="Calibri" w:hAnsi="Calibri" w:cs="Calibri"/>
          <w:sz w:val="22"/>
          <w:szCs w:val="22"/>
          <w:lang w:eastAsia="en-US"/>
        </w:rPr>
      </w:pPr>
      <w:r w:rsidRPr="006E7307">
        <w:rPr>
          <w:rFonts w:ascii="Calibri" w:hAnsi="Calibri" w:cs="Calibri"/>
          <w:sz w:val="22"/>
          <w:szCs w:val="22"/>
          <w:lang w:eastAsia="en-US"/>
        </w:rPr>
        <w:t> </w:t>
      </w:r>
    </w:p>
    <w:p w:rsidR="006E7307" w:rsidRPr="006E7307" w:rsidRDefault="006E7307" w:rsidP="006E7307">
      <w:pPr>
        <w:numPr>
          <w:ilvl w:val="0"/>
          <w:numId w:val="23"/>
        </w:numPr>
        <w:suppressAutoHyphens w:val="0"/>
        <w:spacing w:line="276" w:lineRule="auto"/>
        <w:ind w:left="0"/>
        <w:contextualSpacing/>
        <w:rPr>
          <w:rFonts w:ascii="Calibri" w:hAnsi="Calibri" w:cs="Calibri"/>
          <w:b/>
          <w:bCs/>
          <w:sz w:val="22"/>
          <w:szCs w:val="22"/>
          <w:lang w:eastAsia="en-US"/>
        </w:rPr>
      </w:pPr>
      <w:r w:rsidRPr="006E7307">
        <w:rPr>
          <w:rFonts w:ascii="Calibri" w:hAnsi="Calibri" w:cs="Calibri"/>
          <w:b/>
          <w:bCs/>
          <w:sz w:val="22"/>
          <w:szCs w:val="22"/>
          <w:lang w:eastAsia="en-US"/>
        </w:rPr>
        <w:t>SIWZ, Załącznik-1---1- WARUNKI GWARANCJI I SERWISU, lp. 20.</w:t>
      </w:r>
    </w:p>
    <w:p w:rsidR="006E7307" w:rsidRPr="006E7307" w:rsidRDefault="006E7307" w:rsidP="006E7307">
      <w:pPr>
        <w:suppressAutoHyphens w:val="0"/>
        <w:spacing w:line="276" w:lineRule="auto"/>
        <w:rPr>
          <w:rFonts w:ascii="Calibri" w:hAnsi="Calibri" w:cs="Calibri"/>
          <w:sz w:val="22"/>
          <w:szCs w:val="22"/>
          <w:lang w:eastAsia="en-US"/>
        </w:rPr>
      </w:pPr>
      <w:r w:rsidRPr="006E7307">
        <w:rPr>
          <w:rFonts w:ascii="Calibri" w:hAnsi="Calibri" w:cs="Calibri"/>
          <w:sz w:val="22"/>
          <w:szCs w:val="22"/>
          <w:lang w:eastAsia="en-US"/>
        </w:rPr>
        <w:t>Zwracamy się do Zamawiającego z prośbą o doprecyzowanie zapisów pkt. 20 poprzez określenie, iż czas dostępności klinicznej liczony jest oddzielnie dla każdego roku trwania gwarancji.</w:t>
      </w:r>
    </w:p>
    <w:p w:rsidR="006E7307" w:rsidRPr="006E7307" w:rsidRDefault="006E7307" w:rsidP="006E7307">
      <w:pPr>
        <w:suppressAutoHyphens w:val="0"/>
        <w:spacing w:line="276" w:lineRule="auto"/>
        <w:rPr>
          <w:rFonts w:ascii="Calibri" w:hAnsi="Calibri" w:cs="Calibri"/>
          <w:sz w:val="22"/>
          <w:szCs w:val="22"/>
          <w:lang w:eastAsia="en-US"/>
        </w:rPr>
      </w:pPr>
      <w:r w:rsidRPr="006E7307">
        <w:rPr>
          <w:rFonts w:ascii="Calibri" w:hAnsi="Calibri" w:cs="Calibri"/>
          <w:sz w:val="22"/>
          <w:szCs w:val="22"/>
          <w:lang w:eastAsia="en-US"/>
        </w:rPr>
        <w:t>Proponowany zapis:</w:t>
      </w:r>
    </w:p>
    <w:p w:rsidR="006E7307" w:rsidRPr="006E7307" w:rsidRDefault="006E7307" w:rsidP="006E7307">
      <w:pPr>
        <w:suppressAutoHyphens w:val="0"/>
        <w:spacing w:line="276" w:lineRule="auto"/>
        <w:rPr>
          <w:rFonts w:ascii="Calibri" w:hAnsi="Calibri" w:cs="Calibri"/>
          <w:sz w:val="22"/>
          <w:szCs w:val="22"/>
          <w:lang w:eastAsia="en-US"/>
        </w:rPr>
      </w:pPr>
      <w:r w:rsidRPr="006E7307">
        <w:rPr>
          <w:rFonts w:ascii="Calibri" w:hAnsi="Calibri" w:cs="Calibri"/>
          <w:sz w:val="22"/>
          <w:szCs w:val="22"/>
          <w:lang w:eastAsia="en-US"/>
        </w:rPr>
        <w:t>"Czas dostępności klinicznej przedmiotu oferty (dot. akceleratory, system weryfikacji i zarządzania) w dni robocze (z wyłączeniem dni koniecznych do przeprowadzenia planowych przeglądów konserwacyjnych) na poziomie min. 95% w każdym roku trwania gwarancji."</w:t>
      </w:r>
    </w:p>
    <w:p w:rsidR="006E7307" w:rsidRPr="006E7307" w:rsidRDefault="006E7307" w:rsidP="006E7307">
      <w:pPr>
        <w:suppressAutoHyphens w:val="0"/>
        <w:spacing w:line="276" w:lineRule="auto"/>
        <w:contextualSpacing/>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132"/>
        <w:contextualSpacing/>
        <w:rPr>
          <w:rFonts w:ascii="Calibri" w:hAnsi="Calibri" w:cs="Calibri"/>
          <w:b/>
          <w:sz w:val="22"/>
          <w:szCs w:val="22"/>
          <w:lang w:eastAsia="en-US"/>
        </w:rPr>
      </w:pPr>
      <w:bookmarkStart w:id="9" w:name="_Hlk505097711"/>
      <w:r w:rsidRPr="006E7307">
        <w:rPr>
          <w:rFonts w:ascii="Calibri" w:hAnsi="Calibri" w:cs="Calibri"/>
          <w:b/>
          <w:sz w:val="22"/>
          <w:szCs w:val="22"/>
          <w:lang w:eastAsia="en-US"/>
        </w:rPr>
        <w:t>Załącznik nr 1 do SIWZ, Oferta techniczna w arkuszu „Brachyterapia”, parametry systemu do brachyterapii HDR parametry 23 i 33:</w:t>
      </w:r>
      <w:bookmarkEnd w:id="9"/>
    </w:p>
    <w:p w:rsidR="006E7307" w:rsidRPr="006E7307" w:rsidRDefault="006E7307" w:rsidP="006E7307">
      <w:pPr>
        <w:suppressAutoHyphens w:val="0"/>
        <w:spacing w:line="276" w:lineRule="auto"/>
        <w:ind w:left="132"/>
        <w:contextualSpacing/>
        <w:rPr>
          <w:rFonts w:ascii="Calibri" w:eastAsia="Calibri" w:hAnsi="Calibri" w:cs="Calibri"/>
          <w:sz w:val="22"/>
          <w:szCs w:val="22"/>
          <w:lang w:eastAsia="en-US"/>
        </w:rPr>
      </w:pPr>
      <w:bookmarkStart w:id="10" w:name="_Hlk505097723"/>
      <w:r w:rsidRPr="006E7307">
        <w:rPr>
          <w:rFonts w:ascii="Calibri" w:eastAsia="Calibri" w:hAnsi="Calibri" w:cs="Calibri"/>
          <w:sz w:val="22"/>
          <w:szCs w:val="22"/>
          <w:lang w:eastAsia="en-US"/>
        </w:rPr>
        <w:t xml:space="preserve">Zamawiający proszony jest o potwierdzenie, że wymaga dostawy 12 źródeł przez 3 lata w cyklach trzymiesięcznych. Aktualnie o tych źródłach jest mowa w dwóch parametrach w zakładce „Brachyterapia”: </w:t>
      </w:r>
    </w:p>
    <w:p w:rsidR="006E7307" w:rsidRPr="006E7307" w:rsidRDefault="006E7307" w:rsidP="006E7307">
      <w:pPr>
        <w:numPr>
          <w:ilvl w:val="0"/>
          <w:numId w:val="26"/>
        </w:numPr>
        <w:suppressAutoHyphens w:val="0"/>
        <w:spacing w:line="276" w:lineRule="auto"/>
        <w:contextualSpacing/>
        <w:rPr>
          <w:rFonts w:ascii="Calibri" w:eastAsia="Calibri" w:hAnsi="Calibri" w:cs="Calibri"/>
          <w:sz w:val="22"/>
          <w:szCs w:val="22"/>
          <w:lang w:eastAsia="en-US"/>
        </w:rPr>
      </w:pPr>
      <w:r w:rsidRPr="006E7307">
        <w:rPr>
          <w:rFonts w:ascii="Calibri" w:eastAsia="Calibri" w:hAnsi="Calibri" w:cs="Calibri"/>
          <w:sz w:val="22"/>
          <w:szCs w:val="22"/>
          <w:lang w:eastAsia="en-US"/>
        </w:rPr>
        <w:t>w parametrze nr 23, gdzie jest mowa o 4 źródłach</w:t>
      </w:r>
    </w:p>
    <w:p w:rsidR="006E7307" w:rsidRPr="006E7307" w:rsidRDefault="006E7307" w:rsidP="006E7307">
      <w:pPr>
        <w:numPr>
          <w:ilvl w:val="0"/>
          <w:numId w:val="26"/>
        </w:numPr>
        <w:suppressAutoHyphens w:val="0"/>
        <w:spacing w:line="276" w:lineRule="auto"/>
        <w:contextualSpacing/>
        <w:rPr>
          <w:rFonts w:ascii="Calibri" w:eastAsia="Calibri" w:hAnsi="Calibri" w:cs="Calibri"/>
          <w:sz w:val="22"/>
          <w:szCs w:val="22"/>
          <w:lang w:eastAsia="en-US"/>
        </w:rPr>
      </w:pPr>
      <w:r w:rsidRPr="006E7307">
        <w:rPr>
          <w:rFonts w:ascii="Calibri" w:eastAsia="Calibri" w:hAnsi="Calibri" w:cs="Calibri"/>
          <w:sz w:val="22"/>
          <w:szCs w:val="22"/>
          <w:lang w:eastAsia="en-US"/>
        </w:rPr>
        <w:t>w parametrze 33, gdzie jest mowa o co najmniej 12 źródłach (4 źródła rocznie przez cały okres gwarancji min 3 lata)</w:t>
      </w:r>
    </w:p>
    <w:p w:rsidR="006E7307" w:rsidRPr="006E7307" w:rsidRDefault="006E7307" w:rsidP="006E7307">
      <w:pPr>
        <w:suppressAutoHyphens w:val="0"/>
        <w:spacing w:line="276" w:lineRule="auto"/>
        <w:ind w:left="1146"/>
        <w:contextualSpacing/>
        <w:rPr>
          <w:rFonts w:ascii="Calibri" w:eastAsia="Calibri" w:hAnsi="Calibri" w:cs="Calibri"/>
          <w:sz w:val="22"/>
          <w:szCs w:val="22"/>
          <w:lang w:eastAsia="en-US"/>
        </w:rPr>
      </w:pPr>
    </w:p>
    <w:bookmarkEnd w:id="10"/>
    <w:p w:rsidR="006E7307" w:rsidRPr="006E7307" w:rsidRDefault="006E7307" w:rsidP="006E7307">
      <w:pPr>
        <w:numPr>
          <w:ilvl w:val="0"/>
          <w:numId w:val="23"/>
        </w:numPr>
        <w:suppressAutoHyphens w:val="0"/>
        <w:spacing w:line="276" w:lineRule="auto"/>
        <w:ind w:left="132"/>
        <w:contextualSpacing/>
        <w:rPr>
          <w:rFonts w:ascii="Calibri" w:hAnsi="Calibri" w:cs="Calibri"/>
          <w:b/>
          <w:sz w:val="22"/>
          <w:szCs w:val="22"/>
          <w:lang w:eastAsia="en-US"/>
        </w:rPr>
      </w:pPr>
      <w:r w:rsidRPr="006E7307">
        <w:rPr>
          <w:rFonts w:ascii="Calibri" w:hAnsi="Calibri" w:cs="Calibri"/>
          <w:b/>
          <w:sz w:val="22"/>
          <w:szCs w:val="22"/>
          <w:lang w:eastAsia="en-US"/>
        </w:rPr>
        <w:t>Załącznik nr 1 do SIWZ, Oferta techniczna w arkuszu „Brachyterapia”, parametry systemu do brachyterapii HDR, parametr 36:</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Zamawiający proszony jest o potwierdzenie, że C-</w:t>
      </w:r>
      <w:proofErr w:type="spellStart"/>
      <w:r w:rsidRPr="006E7307">
        <w:rPr>
          <w:rFonts w:ascii="Calibri" w:hAnsi="Calibri" w:cs="Calibri"/>
          <w:sz w:val="22"/>
          <w:szCs w:val="22"/>
          <w:lang w:eastAsia="en-US"/>
        </w:rPr>
        <w:t>Arm</w:t>
      </w:r>
      <w:proofErr w:type="spellEnd"/>
      <w:r w:rsidRPr="006E7307">
        <w:rPr>
          <w:rFonts w:ascii="Calibri" w:hAnsi="Calibri" w:cs="Calibri"/>
          <w:sz w:val="22"/>
          <w:szCs w:val="22"/>
          <w:lang w:eastAsia="en-US"/>
        </w:rPr>
        <w:t xml:space="preserve"> posiadany przez Zamawiającego - </w:t>
      </w:r>
      <w:proofErr w:type="spellStart"/>
      <w:r w:rsidRPr="006E7307">
        <w:rPr>
          <w:rFonts w:ascii="Calibri" w:hAnsi="Calibri" w:cs="Calibri"/>
          <w:sz w:val="22"/>
          <w:szCs w:val="22"/>
          <w:lang w:eastAsia="en-US"/>
        </w:rPr>
        <w:t>Ziehm</w:t>
      </w:r>
      <w:proofErr w:type="spellEnd"/>
      <w:r w:rsidRPr="006E7307">
        <w:rPr>
          <w:rFonts w:ascii="Calibri" w:hAnsi="Calibri" w:cs="Calibri"/>
          <w:sz w:val="22"/>
          <w:szCs w:val="22"/>
          <w:lang w:eastAsia="en-US"/>
        </w:rPr>
        <w:t xml:space="preserve"> </w:t>
      </w:r>
      <w:proofErr w:type="spellStart"/>
      <w:r w:rsidRPr="006E7307">
        <w:rPr>
          <w:rFonts w:ascii="Calibri" w:hAnsi="Calibri" w:cs="Calibri"/>
          <w:sz w:val="22"/>
          <w:szCs w:val="22"/>
          <w:lang w:eastAsia="en-US"/>
        </w:rPr>
        <w:t>Vision</w:t>
      </w:r>
      <w:proofErr w:type="spellEnd"/>
      <w:r w:rsidRPr="006E7307">
        <w:rPr>
          <w:rFonts w:ascii="Calibri" w:hAnsi="Calibri" w:cs="Calibri"/>
          <w:sz w:val="22"/>
          <w:szCs w:val="22"/>
          <w:lang w:eastAsia="en-US"/>
        </w:rPr>
        <w:t xml:space="preserve"> RFD 3D umożliwia transfer danych w formacie </w:t>
      </w:r>
      <w:proofErr w:type="spellStart"/>
      <w:r w:rsidRPr="006E7307">
        <w:rPr>
          <w:rFonts w:ascii="Calibri" w:hAnsi="Calibri" w:cs="Calibri"/>
          <w:sz w:val="22"/>
          <w:szCs w:val="22"/>
          <w:lang w:eastAsia="en-US"/>
        </w:rPr>
        <w:t>Dicom</w:t>
      </w:r>
      <w:proofErr w:type="spellEnd"/>
      <w:r w:rsidRPr="006E7307">
        <w:rPr>
          <w:rFonts w:ascii="Calibri" w:hAnsi="Calibri" w:cs="Calibri"/>
          <w:sz w:val="22"/>
          <w:szCs w:val="22"/>
          <w:lang w:eastAsia="en-US"/>
        </w:rPr>
        <w:t xml:space="preserve"> 3.0.</w:t>
      </w:r>
    </w:p>
    <w:p w:rsidR="006E7307" w:rsidRPr="006E7307" w:rsidRDefault="006E7307" w:rsidP="006E7307">
      <w:pPr>
        <w:tabs>
          <w:tab w:val="left" w:pos="708"/>
          <w:tab w:val="center" w:pos="4536"/>
          <w:tab w:val="right" w:pos="9072"/>
        </w:tabs>
        <w:suppressAutoHyphens w:val="0"/>
        <w:spacing w:line="276" w:lineRule="auto"/>
        <w:ind w:hanging="426"/>
        <w:contextualSpacing/>
        <w:jc w:val="both"/>
        <w:rPr>
          <w:rFonts w:ascii="Calibri" w:hAnsi="Calibri" w:cs="Calibri"/>
          <w:b/>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hAnsi="Calibri" w:cs="Calibri"/>
          <w:sz w:val="22"/>
          <w:szCs w:val="22"/>
          <w:lang w:eastAsia="en-US"/>
        </w:rPr>
      </w:pPr>
      <w:r w:rsidRPr="006E7307">
        <w:rPr>
          <w:rFonts w:ascii="Calibri" w:hAnsi="Calibri" w:cs="Calibri"/>
          <w:b/>
          <w:sz w:val="22"/>
          <w:szCs w:val="22"/>
          <w:lang w:eastAsia="en-US"/>
        </w:rPr>
        <w:t>SIWZ – Załącznik nr 1 do SIWZ, Oferta techniczna w arkuszu „Brachyterapia” poz. 107.</w:t>
      </w:r>
      <w:r w:rsidRPr="006E7307">
        <w:rPr>
          <w:rFonts w:ascii="Calibri" w:hAnsi="Calibri" w:cs="Calibri"/>
          <w:sz w:val="22"/>
          <w:szCs w:val="22"/>
          <w:lang w:eastAsia="en-US"/>
        </w:rPr>
        <w:t xml:space="preserve"> </w:t>
      </w:r>
    </w:p>
    <w:p w:rsidR="006E7307" w:rsidRPr="006E7307" w:rsidRDefault="006E7307" w:rsidP="006E7307">
      <w:pPr>
        <w:suppressAutoHyphens w:val="0"/>
        <w:spacing w:line="276" w:lineRule="auto"/>
        <w:contextualSpacing/>
        <w:rPr>
          <w:rFonts w:ascii="Calibri" w:hAnsi="Calibri" w:cs="Calibri"/>
          <w:sz w:val="22"/>
          <w:szCs w:val="22"/>
          <w:lang w:eastAsia="pl-PL"/>
        </w:rPr>
      </w:pPr>
      <w:r w:rsidRPr="006E7307">
        <w:rPr>
          <w:rFonts w:ascii="Calibri" w:hAnsi="Calibri" w:cs="Calibri"/>
          <w:sz w:val="22"/>
          <w:szCs w:val="22"/>
          <w:lang w:eastAsia="en-US"/>
        </w:rPr>
        <w:t>Czy Zamawiający dopuści wysokiej klasy ultrasonograf z wymaganą wielkością matrycy obrazowej na ekranie 800 x 780 pikseli x 32 bitów?</w:t>
      </w:r>
    </w:p>
    <w:p w:rsidR="006E7307" w:rsidRPr="006E7307" w:rsidRDefault="006E7307" w:rsidP="006E7307">
      <w:pPr>
        <w:suppressAutoHyphens w:val="0"/>
        <w:spacing w:line="276" w:lineRule="auto"/>
        <w:contextualSpacing/>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hAnsi="Calibri" w:cs="Calibri"/>
          <w:sz w:val="22"/>
          <w:szCs w:val="22"/>
          <w:lang w:eastAsia="en-US"/>
        </w:rPr>
      </w:pPr>
      <w:r w:rsidRPr="006E7307">
        <w:rPr>
          <w:rFonts w:ascii="Calibri" w:hAnsi="Calibri" w:cs="Calibri"/>
          <w:b/>
          <w:sz w:val="22"/>
          <w:szCs w:val="22"/>
          <w:lang w:eastAsia="en-US"/>
        </w:rPr>
        <w:t>SIWZ – Załącznik nr 1 do SIWZ, Oferta techniczna w arkuszu „Brachyterapia</w:t>
      </w:r>
      <w:r w:rsidRPr="006E7307">
        <w:rPr>
          <w:rFonts w:ascii="Calibri" w:hAnsi="Calibri" w:cs="Calibri"/>
          <w:sz w:val="22"/>
          <w:szCs w:val="22"/>
          <w:lang w:eastAsia="en-US"/>
        </w:rPr>
        <w:t xml:space="preserve"> </w:t>
      </w:r>
      <w:r w:rsidRPr="006E7307">
        <w:rPr>
          <w:rFonts w:ascii="Calibri" w:hAnsi="Calibri" w:cs="Calibri"/>
          <w:b/>
          <w:sz w:val="22"/>
          <w:szCs w:val="22"/>
          <w:lang w:eastAsia="en-US"/>
        </w:rPr>
        <w:t>poz. 109.</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Czy Zamawiający dopuści wysokiej klasy ultrasonograf z monitorem zainstalowanym na ramieniu umożliwiającym regulacje położenia: góra/dół, obrót wokół osi zaś lewo/prawo razem konsolą?</w:t>
      </w:r>
    </w:p>
    <w:p w:rsidR="006E7307" w:rsidRPr="006E7307" w:rsidRDefault="006E7307" w:rsidP="006E7307">
      <w:pPr>
        <w:suppressAutoHyphens w:val="0"/>
        <w:spacing w:line="276" w:lineRule="auto"/>
        <w:contextualSpacing/>
        <w:rPr>
          <w:rFonts w:ascii="Calibri" w:hAnsi="Calibri" w:cs="Calibri"/>
          <w:sz w:val="22"/>
          <w:szCs w:val="22"/>
          <w:lang w:eastAsia="en-US"/>
        </w:rPr>
      </w:pPr>
    </w:p>
    <w:p w:rsidR="006E7307" w:rsidRPr="006E7307" w:rsidRDefault="006E7307" w:rsidP="006E7307">
      <w:pPr>
        <w:numPr>
          <w:ilvl w:val="0"/>
          <w:numId w:val="23"/>
        </w:numPr>
        <w:suppressAutoHyphens w:val="0"/>
        <w:spacing w:line="276" w:lineRule="auto"/>
        <w:ind w:left="0"/>
        <w:contextualSpacing/>
        <w:rPr>
          <w:rFonts w:ascii="Calibri" w:hAnsi="Calibri" w:cs="Calibri"/>
          <w:sz w:val="22"/>
          <w:szCs w:val="22"/>
          <w:lang w:eastAsia="en-US"/>
        </w:rPr>
      </w:pPr>
      <w:r w:rsidRPr="006E7307">
        <w:rPr>
          <w:rFonts w:ascii="Calibri" w:hAnsi="Calibri" w:cs="Calibri"/>
          <w:b/>
          <w:sz w:val="22"/>
          <w:szCs w:val="22"/>
          <w:lang w:eastAsia="en-US"/>
        </w:rPr>
        <w:t>SIWZ – Załącznik nr 1 do SIWZ, Oferta techniczna w arkuszu „Brachyterapia</w:t>
      </w:r>
      <w:r w:rsidRPr="006E7307">
        <w:rPr>
          <w:rFonts w:ascii="Calibri" w:hAnsi="Calibri" w:cs="Calibri"/>
          <w:sz w:val="22"/>
          <w:szCs w:val="22"/>
          <w:lang w:eastAsia="en-US"/>
        </w:rPr>
        <w:t xml:space="preserve"> </w:t>
      </w:r>
      <w:r w:rsidRPr="006E7307">
        <w:rPr>
          <w:rFonts w:ascii="Calibri" w:hAnsi="Calibri" w:cs="Calibri"/>
          <w:b/>
          <w:sz w:val="22"/>
          <w:szCs w:val="22"/>
          <w:lang w:eastAsia="en-US"/>
        </w:rPr>
        <w:t>poz. 110.</w:t>
      </w:r>
    </w:p>
    <w:p w:rsidR="006E7307" w:rsidRPr="006E7307" w:rsidRDefault="006E7307" w:rsidP="006E7307">
      <w:pPr>
        <w:suppressAutoHyphens w:val="0"/>
        <w:spacing w:line="276" w:lineRule="auto"/>
        <w:contextualSpacing/>
        <w:jc w:val="both"/>
        <w:rPr>
          <w:rFonts w:ascii="Calibri" w:hAnsi="Calibri" w:cs="Calibri"/>
          <w:sz w:val="22"/>
          <w:szCs w:val="22"/>
          <w:lang w:eastAsia="en-US"/>
        </w:rPr>
      </w:pPr>
      <w:r w:rsidRPr="006E7307">
        <w:rPr>
          <w:rFonts w:ascii="Calibri" w:hAnsi="Calibri" w:cs="Calibri"/>
          <w:sz w:val="22"/>
          <w:szCs w:val="22"/>
          <w:lang w:eastAsia="en-US"/>
        </w:rPr>
        <w:t>Czy Zamawiający dopuści wysokiej klasy ultrasonograf wyposażony w 3 czynne gniazda obrazowe do przyłączania głowic przełączanych z klawiatury, z uchwytami za klawiaturą/pod monitorem zabezpieczonymi przed ich wypadnięciem?</w:t>
      </w:r>
    </w:p>
    <w:p w:rsidR="006E7307" w:rsidRPr="006E7307" w:rsidRDefault="006E7307" w:rsidP="006E7307">
      <w:pPr>
        <w:suppressAutoHyphens w:val="0"/>
        <w:spacing w:line="276" w:lineRule="auto"/>
        <w:contextualSpacing/>
        <w:rPr>
          <w:rFonts w:ascii="Calibri" w:hAnsi="Calibri" w:cs="Calibri"/>
          <w:sz w:val="22"/>
          <w:szCs w:val="22"/>
          <w:lang w:eastAsia="en-US"/>
        </w:rPr>
      </w:pPr>
      <w:r w:rsidRPr="006E7307">
        <w:rPr>
          <w:rFonts w:ascii="Calibri" w:hAnsi="Calibri" w:cs="Calibri"/>
          <w:sz w:val="22"/>
          <w:szCs w:val="22"/>
          <w:lang w:eastAsia="en-US"/>
        </w:rPr>
        <w:t xml:space="preserve"> </w:t>
      </w:r>
    </w:p>
    <w:p w:rsidR="006E7307" w:rsidRPr="006E7307" w:rsidRDefault="006E7307" w:rsidP="006E7307">
      <w:pPr>
        <w:numPr>
          <w:ilvl w:val="0"/>
          <w:numId w:val="23"/>
        </w:numPr>
        <w:suppressAutoHyphens w:val="0"/>
        <w:spacing w:line="276" w:lineRule="auto"/>
        <w:ind w:left="0"/>
        <w:rPr>
          <w:rFonts w:ascii="Calibri" w:hAnsi="Calibri" w:cs="Calibri"/>
          <w:b/>
          <w:sz w:val="22"/>
          <w:szCs w:val="20"/>
          <w:lang w:eastAsia="en-US"/>
        </w:rPr>
      </w:pPr>
      <w:r w:rsidRPr="006E7307">
        <w:rPr>
          <w:rFonts w:ascii="Calibri" w:hAnsi="Calibri" w:cs="Calibri"/>
          <w:b/>
          <w:sz w:val="22"/>
          <w:szCs w:val="20"/>
          <w:lang w:eastAsia="en-US"/>
        </w:rPr>
        <w:t xml:space="preserve"> SIWZ - Umowa powierzenia przetwarzania danych osobowych, § 1 ust. 3</w:t>
      </w:r>
      <w:r w:rsidRPr="006E7307">
        <w:rPr>
          <w:rFonts w:ascii="Calibri" w:hAnsi="Calibri" w:cs="Calibri"/>
          <w:sz w:val="22"/>
          <w:szCs w:val="20"/>
          <w:lang w:eastAsia="en-US"/>
        </w:rPr>
        <w:t xml:space="preserve"> </w:t>
      </w:r>
      <w:r w:rsidRPr="006E7307">
        <w:rPr>
          <w:rFonts w:ascii="Calibri" w:hAnsi="Calibri" w:cs="Calibri"/>
          <w:b/>
          <w:sz w:val="22"/>
          <w:szCs w:val="20"/>
          <w:lang w:eastAsia="en-US"/>
        </w:rPr>
        <w:t>UP</w:t>
      </w:r>
      <w:r w:rsidRPr="006E7307">
        <w:rPr>
          <w:rFonts w:ascii="Calibri" w:hAnsi="Calibri" w:cs="Calibri"/>
          <w:sz w:val="22"/>
          <w:szCs w:val="20"/>
          <w:lang w:eastAsia="en-US"/>
        </w:rPr>
        <w:t>.</w:t>
      </w:r>
    </w:p>
    <w:p w:rsidR="006E7307" w:rsidRPr="006E7307" w:rsidRDefault="006E7307" w:rsidP="006E7307">
      <w:pPr>
        <w:suppressAutoHyphens w:val="0"/>
        <w:spacing w:line="276" w:lineRule="auto"/>
        <w:jc w:val="both"/>
        <w:rPr>
          <w:rFonts w:ascii="Calibri" w:hAnsi="Calibri" w:cs="Calibri"/>
          <w:b/>
          <w:sz w:val="22"/>
          <w:szCs w:val="20"/>
          <w:lang w:eastAsia="en-US"/>
        </w:rPr>
      </w:pPr>
      <w:r w:rsidRPr="006E7307">
        <w:rPr>
          <w:rFonts w:ascii="Calibri" w:hAnsi="Calibri" w:cs="Calibri"/>
          <w:sz w:val="22"/>
          <w:szCs w:val="20"/>
          <w:lang w:eastAsia="en-US"/>
        </w:rPr>
        <w:lastRenderedPageBreak/>
        <w:t>Zamawiający proszony jest o wykreślenie z treści niniejszego postanowienia następującego sformułowania „</w:t>
      </w:r>
      <w:r w:rsidRPr="006E7307">
        <w:rPr>
          <w:rFonts w:ascii="Calibri" w:hAnsi="Calibri" w:cs="Calibri"/>
          <w:i/>
          <w:sz w:val="22"/>
          <w:szCs w:val="20"/>
          <w:lang w:eastAsia="en-US"/>
        </w:rPr>
        <w:t>Podmiot przetwarzający oświadcza, że w ramach prowadzonej działalności gospodarczej profesjonalnie zajmuje się przetwarzaniem danych osobowych objętym Umowa</w:t>
      </w:r>
      <w:r w:rsidRPr="006E7307">
        <w:rPr>
          <w:rFonts w:ascii="Calibri" w:hAnsi="Calibri" w:cs="Calibri"/>
          <w:sz w:val="22"/>
          <w:szCs w:val="20"/>
          <w:lang w:eastAsia="en-US"/>
        </w:rPr>
        <w:t>”. Zdanie to jest niewłaściwe, ponieważ Podmiot przetwarzający (Wykonawca) w swojej działalności nie zajmuje się profesjonalnym przetwarzaniem danych osobowych, a jedynie w ramach wykonywanej przez siebie działalności dane te przetwarza. Wykonawca nie może oświadczać czegoś, co jest niezgodne ze stanem faktycznym</w:t>
      </w:r>
      <w:r w:rsidRPr="006E7307">
        <w:rPr>
          <w:rFonts w:ascii="Calibri" w:hAnsi="Calibri" w:cs="Calibri"/>
          <w:b/>
          <w:sz w:val="22"/>
          <w:szCs w:val="20"/>
          <w:lang w:eastAsia="en-US"/>
        </w:rPr>
        <w:t>.</w:t>
      </w:r>
    </w:p>
    <w:p w:rsidR="006E7307" w:rsidRPr="006E7307" w:rsidRDefault="006E7307" w:rsidP="006E7307">
      <w:pPr>
        <w:suppressAutoHyphens w:val="0"/>
        <w:spacing w:line="276" w:lineRule="auto"/>
        <w:rPr>
          <w:rFonts w:ascii="Calibri" w:hAnsi="Calibri" w:cs="Calibri"/>
          <w:b/>
          <w:sz w:val="22"/>
          <w:szCs w:val="20"/>
          <w:lang w:eastAsia="en-US"/>
        </w:rPr>
      </w:pPr>
    </w:p>
    <w:p w:rsidR="006E7307" w:rsidRPr="006E7307" w:rsidRDefault="006E7307" w:rsidP="006E7307">
      <w:pPr>
        <w:numPr>
          <w:ilvl w:val="0"/>
          <w:numId w:val="23"/>
        </w:numPr>
        <w:suppressAutoHyphens w:val="0"/>
        <w:spacing w:line="276" w:lineRule="auto"/>
        <w:ind w:left="0"/>
        <w:jc w:val="both"/>
        <w:rPr>
          <w:rFonts w:ascii="Calibri" w:hAnsi="Calibri" w:cs="Calibri"/>
          <w:b/>
          <w:sz w:val="22"/>
          <w:szCs w:val="20"/>
          <w:lang w:eastAsia="en-US"/>
        </w:rPr>
      </w:pPr>
      <w:r w:rsidRPr="006E7307">
        <w:rPr>
          <w:rFonts w:ascii="Calibri" w:hAnsi="Calibri" w:cs="Calibri"/>
          <w:b/>
          <w:sz w:val="22"/>
          <w:szCs w:val="20"/>
          <w:lang w:eastAsia="en-US"/>
        </w:rPr>
        <w:t>SIWZ - Umowa powierzenia przetwarzania danych osobowych, § 1 ust. 3</w:t>
      </w:r>
      <w:r w:rsidRPr="006E7307">
        <w:rPr>
          <w:rFonts w:ascii="Calibri" w:hAnsi="Calibri" w:cs="Calibri"/>
          <w:sz w:val="22"/>
          <w:szCs w:val="20"/>
          <w:lang w:eastAsia="en-US"/>
        </w:rPr>
        <w:t xml:space="preserve"> </w:t>
      </w:r>
      <w:r w:rsidRPr="006E7307">
        <w:rPr>
          <w:rFonts w:ascii="Calibri" w:hAnsi="Calibri" w:cs="Calibri"/>
          <w:b/>
          <w:sz w:val="22"/>
          <w:szCs w:val="20"/>
          <w:lang w:eastAsia="en-US"/>
        </w:rPr>
        <w:t>UP</w:t>
      </w:r>
      <w:r w:rsidRPr="006E7307">
        <w:rPr>
          <w:rFonts w:ascii="Calibri" w:hAnsi="Calibri" w:cs="Calibri"/>
          <w:sz w:val="22"/>
          <w:szCs w:val="20"/>
          <w:lang w:eastAsia="en-US"/>
        </w:rPr>
        <w:t>.</w:t>
      </w:r>
      <w:r w:rsidRPr="006E7307">
        <w:rPr>
          <w:rFonts w:ascii="Calibri" w:hAnsi="Calibri" w:cs="Calibri"/>
          <w:b/>
          <w:sz w:val="22"/>
          <w:szCs w:val="20"/>
          <w:lang w:eastAsia="en-US"/>
        </w:rPr>
        <w:t>§ 5 ust. 12 UP.</w:t>
      </w:r>
    </w:p>
    <w:p w:rsidR="006E7307" w:rsidRPr="006E7307" w:rsidRDefault="006E7307" w:rsidP="006E7307">
      <w:pPr>
        <w:suppressAutoHyphens w:val="0"/>
        <w:spacing w:line="276" w:lineRule="auto"/>
        <w:jc w:val="both"/>
        <w:rPr>
          <w:rFonts w:ascii="Calibri" w:hAnsi="Calibri" w:cs="Calibri"/>
          <w:b/>
          <w:sz w:val="22"/>
          <w:szCs w:val="20"/>
          <w:lang w:eastAsia="en-US"/>
        </w:rPr>
      </w:pPr>
      <w:r w:rsidRPr="006E7307">
        <w:rPr>
          <w:rFonts w:ascii="Calibri" w:hAnsi="Calibri" w:cs="Calibri"/>
          <w:sz w:val="22"/>
          <w:szCs w:val="20"/>
          <w:lang w:eastAsia="en-US"/>
        </w:rPr>
        <w:t xml:space="preserve"> Zamawiający proszony jest o zmianę treści tego postanowienia tak, aby Podmiot przetwarzający miał obowiązek powiadomienia Administratora o istotnym podejrzeniu naruszenia ochrony danych osobowych nie później niż w 24 godziny od pierwszego zgłoszenia.</w:t>
      </w:r>
    </w:p>
    <w:p w:rsidR="006E7307" w:rsidRPr="006E7307" w:rsidRDefault="006E7307" w:rsidP="006E7307">
      <w:pPr>
        <w:tabs>
          <w:tab w:val="left" w:pos="708"/>
          <w:tab w:val="center" w:pos="4536"/>
          <w:tab w:val="right" w:pos="9072"/>
        </w:tabs>
        <w:suppressAutoHyphens w:val="0"/>
        <w:spacing w:line="276" w:lineRule="auto"/>
        <w:contextualSpacing/>
        <w:jc w:val="both"/>
        <w:rPr>
          <w:rFonts w:ascii="Calibri" w:hAnsi="Calibri" w:cs="Calibri"/>
          <w:b/>
          <w:sz w:val="22"/>
          <w:szCs w:val="22"/>
          <w:lang w:eastAsia="en-US"/>
        </w:rPr>
      </w:pPr>
    </w:p>
    <w:p w:rsidR="006E7307" w:rsidRDefault="006E7307" w:rsidP="00622947">
      <w:pPr>
        <w:rPr>
          <w:rFonts w:ascii="Arial" w:hAnsi="Arial" w:cs="Arial"/>
          <w:b/>
          <w:u w:val="single"/>
        </w:rPr>
      </w:pPr>
      <w:r w:rsidRPr="006E7307">
        <w:rPr>
          <w:rFonts w:ascii="Arial" w:hAnsi="Arial" w:cs="Arial"/>
          <w:b/>
          <w:u w:val="single"/>
        </w:rPr>
        <w:t>Zapytania nr 1</w:t>
      </w:r>
      <w:r>
        <w:rPr>
          <w:rFonts w:ascii="Arial" w:hAnsi="Arial" w:cs="Arial"/>
          <w:b/>
          <w:u w:val="single"/>
        </w:rPr>
        <w:t>7</w:t>
      </w:r>
    </w:p>
    <w:p w:rsidR="006E7307" w:rsidRPr="006E7307" w:rsidRDefault="006E7307" w:rsidP="006E7307">
      <w:pPr>
        <w:suppressAutoHyphens w:val="0"/>
        <w:spacing w:line="280" w:lineRule="exact"/>
        <w:jc w:val="both"/>
        <w:rPr>
          <w:rFonts w:ascii="GE Inspira" w:eastAsia="Times" w:hAnsi="GE Inspira"/>
          <w:b/>
          <w:kern w:val="8"/>
          <w:sz w:val="22"/>
          <w:szCs w:val="22"/>
          <w:lang w:eastAsia="en-US"/>
        </w:rPr>
      </w:pPr>
    </w:p>
    <w:p w:rsidR="006E7307" w:rsidRPr="006E7307" w:rsidRDefault="006E7307" w:rsidP="006E7307">
      <w:pPr>
        <w:numPr>
          <w:ilvl w:val="0"/>
          <w:numId w:val="27"/>
        </w:numPr>
        <w:suppressAutoHyphens w:val="0"/>
        <w:spacing w:line="280" w:lineRule="exact"/>
        <w:jc w:val="both"/>
        <w:rPr>
          <w:rFonts w:ascii="Calibri" w:hAnsi="Calibri"/>
          <w:sz w:val="22"/>
          <w:szCs w:val="22"/>
          <w:lang w:eastAsia="en-US"/>
        </w:rPr>
      </w:pPr>
      <w:r w:rsidRPr="006E7307">
        <w:rPr>
          <w:rFonts w:ascii="GE Inspira" w:hAnsi="GE Inspira"/>
          <w:b/>
          <w:kern w:val="8"/>
          <w:sz w:val="22"/>
          <w:szCs w:val="22"/>
          <w:lang w:eastAsia="en-US"/>
        </w:rPr>
        <w:t xml:space="preserve">Dotyczy wzoru umowy § 10 ust. 2 </w:t>
      </w:r>
      <w:r w:rsidRPr="006E7307">
        <w:rPr>
          <w:rFonts w:ascii="GE Inspira" w:hAnsi="GE Inspira"/>
          <w:kern w:val="8"/>
          <w:sz w:val="22"/>
          <w:szCs w:val="22"/>
          <w:lang w:eastAsia="en-US"/>
        </w:rPr>
        <w:t>– Oprogramowanie objęte jest ochroną własności intelektualnej i stanowi wysoko chronione dobro przedsiębiorstwa, rozwijane latami, w związku z tym Zamawiający w szczególności nie może udzielać sublicencji, przenosić, ujawniać ani w inny sposób udostępniać osobom trzecim jakichkolwiek praw do oprogramowania, jak również kopiować oprogramowania (z wyjątkiem jednej kopii sporządzonej na potrzeby ewentualnego odtworzenia z kopii zapasowej (</w:t>
      </w:r>
      <w:proofErr w:type="spellStart"/>
      <w:r w:rsidRPr="006E7307">
        <w:rPr>
          <w:rFonts w:ascii="GE Inspira" w:hAnsi="GE Inspira"/>
          <w:kern w:val="8"/>
          <w:sz w:val="22"/>
          <w:szCs w:val="22"/>
          <w:lang w:eastAsia="en-US"/>
        </w:rPr>
        <w:t>back-up</w:t>
      </w:r>
      <w:proofErr w:type="spellEnd"/>
      <w:r w:rsidRPr="006E7307">
        <w:rPr>
          <w:rFonts w:ascii="GE Inspira" w:hAnsi="GE Inspira"/>
          <w:kern w:val="8"/>
          <w:sz w:val="22"/>
          <w:szCs w:val="22"/>
          <w:lang w:eastAsia="en-US"/>
        </w:rPr>
        <w:t>) lub w innych celach dopuszczalnych na mocy obowiązującego prawa). Licencja udzielana Zamawiającemu umożliwia Kupującemu korzystanie z Oprogramowania wyłącznie na jego własne, wewnętrzne potrzeby związane z prowadzoną działalnością. W związku z tym bardzo prosimy o następującą modyfikację par. 10 ust. 2:</w:t>
      </w:r>
    </w:p>
    <w:p w:rsidR="006E7307" w:rsidRPr="006E7307" w:rsidRDefault="006E7307" w:rsidP="006E7307">
      <w:pPr>
        <w:suppressAutoHyphens w:val="0"/>
        <w:spacing w:after="200" w:line="276" w:lineRule="auto"/>
        <w:ind w:left="720"/>
        <w:contextualSpacing/>
        <w:rPr>
          <w:rFonts w:ascii="Calibri" w:eastAsia="Calibri" w:hAnsi="Calibri"/>
          <w:i/>
          <w:iCs/>
          <w:sz w:val="22"/>
          <w:szCs w:val="22"/>
          <w:lang w:eastAsia="en-US"/>
        </w:rPr>
      </w:pPr>
    </w:p>
    <w:p w:rsidR="006E7307" w:rsidRPr="006E7307" w:rsidRDefault="006E7307" w:rsidP="006E7307">
      <w:pPr>
        <w:suppressAutoHyphens w:val="0"/>
        <w:spacing w:after="200" w:line="276" w:lineRule="auto"/>
        <w:ind w:left="720"/>
        <w:contextualSpacing/>
        <w:rPr>
          <w:rFonts w:ascii="Calibri" w:eastAsia="Calibri" w:hAnsi="Calibri"/>
          <w:i/>
          <w:iCs/>
          <w:sz w:val="22"/>
          <w:szCs w:val="22"/>
          <w:lang w:eastAsia="en-US"/>
        </w:rPr>
      </w:pPr>
      <w:r w:rsidRPr="006E7307">
        <w:rPr>
          <w:rFonts w:ascii="Calibri" w:eastAsia="Calibri" w:hAnsi="Calibri"/>
          <w:i/>
          <w:iCs/>
          <w:sz w:val="22"/>
          <w:szCs w:val="22"/>
          <w:lang w:eastAsia="en-US"/>
        </w:rPr>
        <w:t xml:space="preserve">„2. Wykonawca, z chwilą dokonania przez Zamawiającego odbioru przedmiotu umowy oraz w ramach wynagrodzenia określonego w § 14 ust. 1 umowy, udziela Zamawiającemu bezterminowych licencji na korzystanie z kompletu oprogramowania poszczególnych elementów wyposażenia i aparatury medycznej. </w:t>
      </w:r>
      <w:r w:rsidRPr="006E7307">
        <w:rPr>
          <w:rFonts w:ascii="Calibri" w:eastAsia="Calibri" w:hAnsi="Calibri"/>
          <w:i/>
          <w:iCs/>
          <w:strike/>
          <w:sz w:val="22"/>
          <w:szCs w:val="22"/>
          <w:lang w:eastAsia="en-US"/>
        </w:rPr>
        <w:t>Wykonawca upoważnia również Zamawiającego do udzielania dalszych licencji na korzystanie z oprogramowania w zakresie analogicznym do udzielonych licencji. Zamawiający nabywa również prawo do rozpowszechniania w dowolnej formie bez ograniczeń danych i zestawień utworzonych za pomocą tego oprogramowania.</w:t>
      </w:r>
      <w:r w:rsidRPr="006E7307">
        <w:rPr>
          <w:rFonts w:ascii="Calibri" w:eastAsia="Calibri" w:hAnsi="Calibri"/>
          <w:i/>
          <w:iCs/>
          <w:sz w:val="22"/>
          <w:szCs w:val="22"/>
          <w:lang w:eastAsia="en-US"/>
        </w:rPr>
        <w:t>”</w:t>
      </w:r>
    </w:p>
    <w:p w:rsidR="006E7307" w:rsidRPr="006E7307" w:rsidRDefault="006E7307" w:rsidP="006E7307">
      <w:pPr>
        <w:suppressAutoHyphens w:val="0"/>
        <w:spacing w:after="200" w:line="276" w:lineRule="auto"/>
        <w:ind w:left="720"/>
        <w:contextualSpacing/>
        <w:rPr>
          <w:rFonts w:ascii="Calibri" w:eastAsia="Calibri" w:hAnsi="Calibri"/>
          <w:i/>
          <w:iCs/>
          <w:strike/>
          <w:sz w:val="22"/>
          <w:szCs w:val="22"/>
          <w:lang w:eastAsia="en-US"/>
        </w:rPr>
      </w:pPr>
    </w:p>
    <w:p w:rsidR="006E7307" w:rsidRPr="006E7307" w:rsidRDefault="006E7307" w:rsidP="006E7307">
      <w:pPr>
        <w:numPr>
          <w:ilvl w:val="0"/>
          <w:numId w:val="27"/>
        </w:numPr>
        <w:suppressAutoHyphens w:val="0"/>
        <w:spacing w:line="280" w:lineRule="exact"/>
        <w:jc w:val="both"/>
        <w:rPr>
          <w:rFonts w:ascii="GE Inspira" w:hAnsi="GE Inspira"/>
          <w:kern w:val="8"/>
          <w:sz w:val="22"/>
          <w:szCs w:val="22"/>
          <w:lang w:val="en-US" w:eastAsia="en-US"/>
        </w:rPr>
      </w:pPr>
      <w:r w:rsidRPr="006E7307">
        <w:rPr>
          <w:rFonts w:ascii="GE Inspira" w:hAnsi="GE Inspira"/>
          <w:b/>
          <w:kern w:val="8"/>
          <w:sz w:val="22"/>
          <w:szCs w:val="22"/>
          <w:lang w:eastAsia="en-US"/>
        </w:rPr>
        <w:t>Dotyczy wzoru umowy § 17 ust. 2 pkt 1, 2, 4 i 5</w:t>
      </w:r>
      <w:r w:rsidRPr="006E7307">
        <w:rPr>
          <w:rFonts w:ascii="GE Inspira" w:hAnsi="GE Inspira"/>
          <w:kern w:val="8"/>
          <w:sz w:val="22"/>
          <w:szCs w:val="22"/>
          <w:lang w:eastAsia="en-US"/>
        </w:rPr>
        <w:t xml:space="preserve"> – Zwracamy się z prośbą o zmianę sposobu wyliczania kar umownych na taki, który będzie odnosił się bezpośrednio do ceny za dane urządzenie, którego dotyczy zdarzenie prowadzące do naliczenia kary. W związku z obszernością zamówienia, konstrukcja, w której kary umowne naliczane są od całkowitego wynagrodzenia Wykonawcy nawet w przypadku gdy np. doszło do opóźnienia w naprawie jednego konkretnego urządzenia stanowi nadmierne ryzyko dla Wykonawcy i narusza równowagę stron. Przedstawiona propozycja zmiany w sposób wystarczający w naszej ocenie chroni słuszny interes Zamawiającego. </w:t>
      </w:r>
      <w:r w:rsidRPr="006E7307">
        <w:rPr>
          <w:rFonts w:ascii="GE Inspira" w:hAnsi="GE Inspira"/>
          <w:kern w:val="8"/>
          <w:sz w:val="22"/>
          <w:szCs w:val="22"/>
          <w:lang w:val="en-US" w:eastAsia="en-US"/>
        </w:rPr>
        <w:t xml:space="preserve">W </w:t>
      </w:r>
      <w:proofErr w:type="spellStart"/>
      <w:r w:rsidRPr="006E7307">
        <w:rPr>
          <w:rFonts w:ascii="GE Inspira" w:hAnsi="GE Inspira"/>
          <w:kern w:val="8"/>
          <w:sz w:val="22"/>
          <w:szCs w:val="22"/>
          <w:lang w:val="en-US" w:eastAsia="en-US"/>
        </w:rPr>
        <w:t>związku</w:t>
      </w:r>
      <w:proofErr w:type="spellEnd"/>
      <w:r w:rsidRPr="006E7307">
        <w:rPr>
          <w:rFonts w:ascii="GE Inspira" w:hAnsi="GE Inspira"/>
          <w:kern w:val="8"/>
          <w:sz w:val="22"/>
          <w:szCs w:val="22"/>
          <w:lang w:val="en-US" w:eastAsia="en-US"/>
        </w:rPr>
        <w:t xml:space="preserve"> z </w:t>
      </w:r>
      <w:proofErr w:type="spellStart"/>
      <w:r w:rsidRPr="006E7307">
        <w:rPr>
          <w:rFonts w:ascii="GE Inspira" w:hAnsi="GE Inspira"/>
          <w:kern w:val="8"/>
          <w:sz w:val="22"/>
          <w:szCs w:val="22"/>
          <w:lang w:val="en-US" w:eastAsia="en-US"/>
        </w:rPr>
        <w:t>tym</w:t>
      </w:r>
      <w:proofErr w:type="spellEnd"/>
      <w:r w:rsidRPr="006E7307">
        <w:rPr>
          <w:rFonts w:ascii="GE Inspira" w:hAnsi="GE Inspira"/>
          <w:kern w:val="8"/>
          <w:sz w:val="22"/>
          <w:szCs w:val="22"/>
          <w:lang w:val="en-US" w:eastAsia="en-US"/>
        </w:rPr>
        <w:t xml:space="preserve"> </w:t>
      </w:r>
      <w:proofErr w:type="spellStart"/>
      <w:r w:rsidRPr="006E7307">
        <w:rPr>
          <w:rFonts w:ascii="GE Inspira" w:hAnsi="GE Inspira"/>
          <w:kern w:val="8"/>
          <w:sz w:val="22"/>
          <w:szCs w:val="22"/>
          <w:lang w:val="en-US" w:eastAsia="en-US"/>
        </w:rPr>
        <w:t>prosimy</w:t>
      </w:r>
      <w:proofErr w:type="spellEnd"/>
      <w:r w:rsidRPr="006E7307">
        <w:rPr>
          <w:rFonts w:ascii="GE Inspira" w:hAnsi="GE Inspira"/>
          <w:kern w:val="8"/>
          <w:sz w:val="22"/>
          <w:szCs w:val="22"/>
          <w:lang w:val="en-US" w:eastAsia="en-US"/>
        </w:rPr>
        <w:t xml:space="preserve"> o </w:t>
      </w:r>
      <w:proofErr w:type="spellStart"/>
      <w:r w:rsidRPr="006E7307">
        <w:rPr>
          <w:rFonts w:ascii="GE Inspira" w:hAnsi="GE Inspira"/>
          <w:kern w:val="8"/>
          <w:sz w:val="22"/>
          <w:szCs w:val="22"/>
          <w:lang w:val="en-US" w:eastAsia="en-US"/>
        </w:rPr>
        <w:t>następującą</w:t>
      </w:r>
      <w:proofErr w:type="spellEnd"/>
      <w:r w:rsidRPr="006E7307">
        <w:rPr>
          <w:rFonts w:ascii="GE Inspira" w:hAnsi="GE Inspira"/>
          <w:kern w:val="8"/>
          <w:sz w:val="22"/>
          <w:szCs w:val="22"/>
          <w:lang w:val="en-US" w:eastAsia="en-US"/>
        </w:rPr>
        <w:t xml:space="preserve"> </w:t>
      </w:r>
      <w:proofErr w:type="spellStart"/>
      <w:r w:rsidRPr="006E7307">
        <w:rPr>
          <w:rFonts w:ascii="GE Inspira" w:hAnsi="GE Inspira"/>
          <w:kern w:val="8"/>
          <w:sz w:val="22"/>
          <w:szCs w:val="22"/>
          <w:lang w:val="en-US" w:eastAsia="en-US"/>
        </w:rPr>
        <w:t>modyfikację</w:t>
      </w:r>
      <w:proofErr w:type="spellEnd"/>
      <w:r w:rsidRPr="006E7307">
        <w:rPr>
          <w:rFonts w:ascii="GE Inspira" w:hAnsi="GE Inspira"/>
          <w:kern w:val="8"/>
          <w:sz w:val="22"/>
          <w:szCs w:val="22"/>
          <w:lang w:val="en-US" w:eastAsia="en-US"/>
        </w:rPr>
        <w:t>:</w:t>
      </w:r>
    </w:p>
    <w:p w:rsidR="006E7307" w:rsidRPr="006E7307" w:rsidRDefault="006E7307" w:rsidP="006E7307">
      <w:pPr>
        <w:suppressAutoHyphens w:val="0"/>
        <w:spacing w:after="200" w:line="276" w:lineRule="auto"/>
        <w:ind w:left="720"/>
        <w:contextualSpacing/>
        <w:rPr>
          <w:rFonts w:ascii="Calibri" w:eastAsia="Calibri" w:hAnsi="Calibri"/>
          <w:sz w:val="22"/>
          <w:szCs w:val="22"/>
          <w:lang w:eastAsia="en-US"/>
        </w:rPr>
      </w:pPr>
    </w:p>
    <w:p w:rsidR="006E7307" w:rsidRPr="006E7307" w:rsidRDefault="006E7307" w:rsidP="006E7307">
      <w:pPr>
        <w:suppressAutoHyphens w:val="0"/>
        <w:spacing w:after="200" w:line="276" w:lineRule="auto"/>
        <w:ind w:left="720"/>
        <w:contextualSpacing/>
        <w:rPr>
          <w:rFonts w:ascii="Calibri" w:eastAsia="Calibri" w:hAnsi="Calibri"/>
          <w:i/>
          <w:iCs/>
          <w:sz w:val="22"/>
          <w:szCs w:val="22"/>
          <w:lang w:eastAsia="en-US"/>
        </w:rPr>
      </w:pPr>
      <w:r w:rsidRPr="006E7307">
        <w:rPr>
          <w:rFonts w:ascii="Calibri" w:eastAsia="Calibri" w:hAnsi="Calibri"/>
          <w:i/>
          <w:iCs/>
          <w:sz w:val="22"/>
          <w:szCs w:val="22"/>
          <w:lang w:eastAsia="en-US"/>
        </w:rPr>
        <w:t xml:space="preserve">„2. Wykonawca zapłaci Zamawiającemu karę umowną: </w:t>
      </w:r>
    </w:p>
    <w:p w:rsidR="006E7307" w:rsidRPr="006E7307" w:rsidRDefault="006E7307" w:rsidP="006E7307">
      <w:pPr>
        <w:suppressAutoHyphens w:val="0"/>
        <w:spacing w:after="200" w:line="276" w:lineRule="auto"/>
        <w:ind w:left="720"/>
        <w:contextualSpacing/>
        <w:rPr>
          <w:rFonts w:ascii="Calibri" w:eastAsia="Calibri" w:hAnsi="Calibri"/>
          <w:i/>
          <w:iCs/>
          <w:sz w:val="22"/>
          <w:szCs w:val="22"/>
          <w:lang w:eastAsia="en-US"/>
        </w:rPr>
      </w:pPr>
      <w:r w:rsidRPr="006E7307">
        <w:rPr>
          <w:rFonts w:ascii="Calibri" w:eastAsia="Calibri" w:hAnsi="Calibri"/>
          <w:i/>
          <w:iCs/>
          <w:sz w:val="22"/>
          <w:szCs w:val="22"/>
          <w:lang w:eastAsia="en-US"/>
        </w:rPr>
        <w:t xml:space="preserve">1) za opóźnienie w wykonaniu przedmiotu umowy w zakresie jakikolwiek elementu składającego się na przedmiot umowy – w wysokości 0,01% wynagrodzenia netto wskazanego w § 14 ust. 1 pkt a) albo b)  umowy odpowiednio do przedmiotu powstania opóźnienia za każdy dzień opóźnienia w stosunku do terminu ustalonego w § 13 pkt 1 umowy, </w:t>
      </w:r>
    </w:p>
    <w:p w:rsidR="006E7307" w:rsidRPr="006E7307" w:rsidRDefault="006E7307" w:rsidP="006E7307">
      <w:pPr>
        <w:suppressAutoHyphens w:val="0"/>
        <w:spacing w:after="200" w:line="276" w:lineRule="auto"/>
        <w:ind w:left="720"/>
        <w:contextualSpacing/>
        <w:rPr>
          <w:rFonts w:ascii="Calibri" w:eastAsia="Calibri" w:hAnsi="Calibri"/>
          <w:i/>
          <w:iCs/>
          <w:sz w:val="22"/>
          <w:szCs w:val="22"/>
          <w:lang w:eastAsia="en-US"/>
        </w:rPr>
      </w:pPr>
      <w:r w:rsidRPr="006E7307">
        <w:rPr>
          <w:rFonts w:ascii="Calibri" w:eastAsia="Calibri" w:hAnsi="Calibri"/>
          <w:i/>
          <w:iCs/>
          <w:sz w:val="22"/>
          <w:szCs w:val="22"/>
          <w:lang w:eastAsia="en-US"/>
        </w:rPr>
        <w:t xml:space="preserve">2) za nieterminowe zrealizowanie szkoleń personelu medycznego lub personelu technicznego – w wysokości 0,01 % wynagrodzenia netto wskazanego w § 14 ust. 1 pkt a) albo b)  umowy odpowiednio do </w:t>
      </w:r>
      <w:r w:rsidRPr="006E7307">
        <w:rPr>
          <w:rFonts w:ascii="Calibri" w:eastAsia="Calibri" w:hAnsi="Calibri"/>
          <w:i/>
          <w:iCs/>
          <w:sz w:val="22"/>
          <w:szCs w:val="22"/>
          <w:lang w:eastAsia="en-US"/>
        </w:rPr>
        <w:lastRenderedPageBreak/>
        <w:t xml:space="preserve">przedmiotu powstania opóźnienia za każdy dzień opóźnienia w stosunku do każdego z terminów szkoleń ustalonych zgodnie z § 13 pkt 3 umowy, </w:t>
      </w:r>
    </w:p>
    <w:p w:rsidR="006E7307" w:rsidRPr="006E7307" w:rsidRDefault="006E7307" w:rsidP="006E7307">
      <w:pPr>
        <w:suppressAutoHyphens w:val="0"/>
        <w:spacing w:after="200" w:line="276" w:lineRule="auto"/>
        <w:ind w:left="720"/>
        <w:contextualSpacing/>
        <w:rPr>
          <w:rFonts w:ascii="Calibri" w:eastAsia="Calibri" w:hAnsi="Calibri"/>
          <w:i/>
          <w:iCs/>
          <w:sz w:val="22"/>
          <w:szCs w:val="22"/>
          <w:lang w:eastAsia="en-US"/>
        </w:rPr>
      </w:pPr>
      <w:r w:rsidRPr="006E7307">
        <w:rPr>
          <w:rFonts w:ascii="Calibri" w:eastAsia="Calibri" w:hAnsi="Calibri"/>
          <w:i/>
          <w:iCs/>
          <w:sz w:val="22"/>
          <w:szCs w:val="22"/>
          <w:lang w:eastAsia="en-US"/>
        </w:rPr>
        <w:t xml:space="preserve">3) za nieterminowe zrealizowanie szkoleń personelu medycznego lub personelu technicznego w okresie zapewnienia stałego wsparcia personelu – w wysokości 0,01 % wynagrodzenia ryczałtowego netto określonego w § 14 ust. 1 umowy za każdy dzień opóźnienia w stosunku do każdego z terminów szkoleń ustalonych zgodnie z § 13 ust. 4 umowy, </w:t>
      </w:r>
    </w:p>
    <w:p w:rsidR="006E7307" w:rsidRPr="006E7307" w:rsidRDefault="006E7307" w:rsidP="006E7307">
      <w:pPr>
        <w:suppressAutoHyphens w:val="0"/>
        <w:spacing w:after="200" w:line="276" w:lineRule="auto"/>
        <w:ind w:left="720"/>
        <w:contextualSpacing/>
        <w:rPr>
          <w:rFonts w:ascii="Calibri" w:eastAsia="Calibri" w:hAnsi="Calibri"/>
          <w:i/>
          <w:iCs/>
          <w:sz w:val="22"/>
          <w:szCs w:val="22"/>
          <w:lang w:eastAsia="en-US"/>
        </w:rPr>
      </w:pPr>
      <w:r w:rsidRPr="006E7307">
        <w:rPr>
          <w:rFonts w:ascii="Calibri" w:eastAsia="Calibri" w:hAnsi="Calibri"/>
          <w:i/>
          <w:iCs/>
          <w:sz w:val="22"/>
          <w:szCs w:val="22"/>
          <w:lang w:eastAsia="en-US"/>
        </w:rPr>
        <w:t xml:space="preserve">4) za opóźnienie w usunięciu wad stwierdzonych podczas odbioru Przedmiotu umowy – w wysokości 0,01 % wynagrodzenia netto wskazanego w § 14 ust. 1 pkt a) albo b)  umowy odpowiednio do przedmiotu powstania opóźnienia za każdy dzień opóźnienia w stosunku do terminu ustalonego w § 6 ust. 7 i § 7 ust. 9 umowy, </w:t>
      </w:r>
    </w:p>
    <w:p w:rsidR="006E7307" w:rsidRPr="006E7307" w:rsidRDefault="006E7307" w:rsidP="006E7307">
      <w:pPr>
        <w:suppressAutoHyphens w:val="0"/>
        <w:spacing w:after="200" w:line="276" w:lineRule="auto"/>
        <w:ind w:left="720"/>
        <w:contextualSpacing/>
        <w:rPr>
          <w:rFonts w:ascii="Calibri" w:eastAsia="Calibri" w:hAnsi="Calibri"/>
          <w:i/>
          <w:iCs/>
          <w:sz w:val="22"/>
          <w:szCs w:val="22"/>
          <w:lang w:eastAsia="en-US"/>
        </w:rPr>
      </w:pPr>
      <w:r w:rsidRPr="006E7307">
        <w:rPr>
          <w:rFonts w:ascii="Calibri" w:eastAsia="Calibri" w:hAnsi="Calibri"/>
          <w:i/>
          <w:iCs/>
          <w:sz w:val="22"/>
          <w:szCs w:val="22"/>
          <w:lang w:eastAsia="en-US"/>
        </w:rPr>
        <w:t>5) za opóźnienie w usunięciu wad stwierdzonych lub ujawnionych w okresie gwarancji  jakości w wysokości 0,01 % wynagrodzenia netto wskazanego w § 14 ust. 1 pkt a) albo b) umowy odpowiednio do przedmiotu powstania opóźnienia za każdy dzień opóźnienia w stosunku do terminów ustalonych w § 16 ust. 7 i ust. 9 umowy,”</w:t>
      </w:r>
    </w:p>
    <w:p w:rsidR="006E7307" w:rsidRPr="006E7307" w:rsidRDefault="006E7307" w:rsidP="006E7307">
      <w:pPr>
        <w:suppressAutoHyphens w:val="0"/>
        <w:spacing w:after="200" w:line="276" w:lineRule="auto"/>
        <w:ind w:left="720"/>
        <w:contextualSpacing/>
        <w:rPr>
          <w:rFonts w:ascii="Calibri" w:eastAsia="Calibri" w:hAnsi="Calibri"/>
          <w:sz w:val="22"/>
          <w:szCs w:val="22"/>
          <w:lang w:eastAsia="en-US"/>
        </w:rPr>
      </w:pPr>
    </w:p>
    <w:p w:rsidR="006E7307" w:rsidRPr="006E7307" w:rsidRDefault="006E7307" w:rsidP="006E7307">
      <w:pPr>
        <w:numPr>
          <w:ilvl w:val="0"/>
          <w:numId w:val="27"/>
        </w:numPr>
        <w:suppressAutoHyphens w:val="0"/>
        <w:spacing w:line="280" w:lineRule="exact"/>
        <w:jc w:val="both"/>
        <w:rPr>
          <w:rFonts w:ascii="GE Inspira" w:eastAsia="Times" w:hAnsi="GE Inspira"/>
          <w:kern w:val="8"/>
          <w:sz w:val="22"/>
          <w:szCs w:val="22"/>
          <w:lang w:eastAsia="pl-PL"/>
        </w:rPr>
      </w:pPr>
      <w:r w:rsidRPr="006E7307">
        <w:rPr>
          <w:rFonts w:ascii="GE Inspira" w:eastAsia="Times" w:hAnsi="GE Inspira"/>
          <w:kern w:val="8"/>
          <w:sz w:val="22"/>
          <w:szCs w:val="22"/>
          <w:lang w:eastAsia="pl-PL"/>
        </w:rPr>
        <w:t>Czy Zamawiający, w celu umożliwienia zdalnej diagnostyki zapewni łącze internetowe o przepustowości minimum 2Mbps (</w:t>
      </w:r>
      <w:proofErr w:type="spellStart"/>
      <w:r w:rsidRPr="006E7307">
        <w:rPr>
          <w:rFonts w:ascii="GE Inspira" w:eastAsia="Times" w:hAnsi="GE Inspira"/>
          <w:kern w:val="8"/>
          <w:sz w:val="22"/>
          <w:szCs w:val="22"/>
          <w:lang w:eastAsia="pl-PL"/>
        </w:rPr>
        <w:t>Upload</w:t>
      </w:r>
      <w:proofErr w:type="spellEnd"/>
      <w:r w:rsidRPr="006E7307">
        <w:rPr>
          <w:rFonts w:ascii="GE Inspira" w:eastAsia="Times" w:hAnsi="GE Inspira"/>
          <w:kern w:val="8"/>
          <w:sz w:val="22"/>
          <w:szCs w:val="22"/>
          <w:lang w:eastAsia="pl-PL"/>
        </w:rPr>
        <w:t>/</w:t>
      </w:r>
      <w:proofErr w:type="spellStart"/>
      <w:r w:rsidRPr="006E7307">
        <w:rPr>
          <w:rFonts w:ascii="GE Inspira" w:eastAsia="Times" w:hAnsi="GE Inspira"/>
          <w:kern w:val="8"/>
          <w:sz w:val="22"/>
          <w:szCs w:val="22"/>
          <w:lang w:eastAsia="pl-PL"/>
        </w:rPr>
        <w:t>Download</w:t>
      </w:r>
      <w:proofErr w:type="spellEnd"/>
      <w:r w:rsidRPr="006E7307">
        <w:rPr>
          <w:rFonts w:ascii="GE Inspira" w:eastAsia="Times" w:hAnsi="GE Inspira"/>
          <w:kern w:val="8"/>
          <w:sz w:val="22"/>
          <w:szCs w:val="22"/>
          <w:lang w:eastAsia="pl-PL"/>
        </w:rPr>
        <w:t xml:space="preserve">), ze stałym adresem IP, wraz z urządzeniem sieciowym Zamawiającego umożliwiającym zestawienie tunelu VPN typu </w:t>
      </w:r>
      <w:proofErr w:type="spellStart"/>
      <w:r w:rsidRPr="006E7307">
        <w:rPr>
          <w:rFonts w:ascii="GE Inspira" w:eastAsia="Times" w:hAnsi="GE Inspira"/>
          <w:kern w:val="8"/>
          <w:sz w:val="22"/>
          <w:szCs w:val="22"/>
          <w:lang w:eastAsia="pl-PL"/>
        </w:rPr>
        <w:t>IPsec</w:t>
      </w:r>
      <w:proofErr w:type="spellEnd"/>
      <w:r w:rsidRPr="006E7307">
        <w:rPr>
          <w:rFonts w:ascii="GE Inspira" w:eastAsia="Times" w:hAnsi="GE Inspira"/>
          <w:kern w:val="8"/>
          <w:sz w:val="22"/>
          <w:szCs w:val="22"/>
          <w:lang w:eastAsia="pl-PL"/>
        </w:rPr>
        <w:t>?</w:t>
      </w:r>
    </w:p>
    <w:p w:rsidR="006E7307" w:rsidRPr="006E7307" w:rsidRDefault="006E7307" w:rsidP="006E7307">
      <w:pPr>
        <w:suppressAutoHyphens w:val="0"/>
        <w:ind w:left="720"/>
        <w:jc w:val="both"/>
        <w:rPr>
          <w:rFonts w:ascii="GE Inspira" w:eastAsia="Times" w:hAnsi="GE Inspira"/>
          <w:kern w:val="8"/>
          <w:sz w:val="22"/>
          <w:szCs w:val="22"/>
          <w:lang w:eastAsia="pl-PL"/>
        </w:rPr>
      </w:pPr>
    </w:p>
    <w:p w:rsidR="006E7307" w:rsidRPr="006E7307" w:rsidRDefault="006E7307" w:rsidP="006E7307">
      <w:pPr>
        <w:numPr>
          <w:ilvl w:val="0"/>
          <w:numId w:val="27"/>
        </w:numPr>
        <w:suppressAutoHyphens w:val="0"/>
        <w:spacing w:line="280" w:lineRule="exact"/>
        <w:jc w:val="both"/>
        <w:rPr>
          <w:rFonts w:ascii="GE Inspira" w:eastAsia="Times" w:hAnsi="GE Inspira"/>
          <w:kern w:val="8"/>
          <w:sz w:val="22"/>
          <w:szCs w:val="22"/>
          <w:lang w:eastAsia="pl-PL"/>
        </w:rPr>
      </w:pPr>
      <w:r w:rsidRPr="006E7307">
        <w:rPr>
          <w:rFonts w:ascii="GE Inspira" w:eastAsia="Times" w:hAnsi="GE Inspira"/>
          <w:kern w:val="8"/>
          <w:sz w:val="22"/>
          <w:szCs w:val="22"/>
          <w:lang w:eastAsia="pl-PL"/>
        </w:rPr>
        <w:t>W przypadku braku zgody na uruchomione zdalnej diagnostyki z wykorzystaniem urządzenia sieciowego Zamawiającego czy Zamawiający zgodzi się na uruchomienie zdalnej diagnostyki z wykorzystaniem urządzenia sieciowego Wykonawcy i zapewni łącze o przepustowości minimum 2Mbps (</w:t>
      </w:r>
      <w:proofErr w:type="spellStart"/>
      <w:r w:rsidRPr="006E7307">
        <w:rPr>
          <w:rFonts w:ascii="GE Inspira" w:eastAsia="Times" w:hAnsi="GE Inspira"/>
          <w:kern w:val="8"/>
          <w:sz w:val="22"/>
          <w:szCs w:val="22"/>
          <w:lang w:eastAsia="pl-PL"/>
        </w:rPr>
        <w:t>Upload</w:t>
      </w:r>
      <w:proofErr w:type="spellEnd"/>
      <w:r w:rsidRPr="006E7307">
        <w:rPr>
          <w:rFonts w:ascii="GE Inspira" w:eastAsia="Times" w:hAnsi="GE Inspira"/>
          <w:kern w:val="8"/>
          <w:sz w:val="22"/>
          <w:szCs w:val="22"/>
          <w:lang w:eastAsia="pl-PL"/>
        </w:rPr>
        <w:t>/</w:t>
      </w:r>
      <w:proofErr w:type="spellStart"/>
      <w:r w:rsidRPr="006E7307">
        <w:rPr>
          <w:rFonts w:ascii="GE Inspira" w:eastAsia="Times" w:hAnsi="GE Inspira"/>
          <w:kern w:val="8"/>
          <w:sz w:val="22"/>
          <w:szCs w:val="22"/>
          <w:lang w:eastAsia="pl-PL"/>
        </w:rPr>
        <w:t>Download</w:t>
      </w:r>
      <w:proofErr w:type="spellEnd"/>
      <w:r w:rsidRPr="006E7307">
        <w:rPr>
          <w:rFonts w:ascii="GE Inspira" w:eastAsia="Times" w:hAnsi="GE Inspira"/>
          <w:kern w:val="8"/>
          <w:sz w:val="22"/>
          <w:szCs w:val="22"/>
          <w:lang w:eastAsia="pl-PL"/>
        </w:rPr>
        <w:t xml:space="preserve">) ze stałym adresem IP, umożliwiające zestawienie tunelu VPN typu </w:t>
      </w:r>
      <w:proofErr w:type="spellStart"/>
      <w:r w:rsidRPr="006E7307">
        <w:rPr>
          <w:rFonts w:ascii="GE Inspira" w:eastAsia="Times" w:hAnsi="GE Inspira"/>
          <w:kern w:val="8"/>
          <w:sz w:val="22"/>
          <w:szCs w:val="22"/>
          <w:lang w:eastAsia="pl-PL"/>
        </w:rPr>
        <w:t>IPsec</w:t>
      </w:r>
      <w:proofErr w:type="spellEnd"/>
      <w:r w:rsidRPr="006E7307">
        <w:rPr>
          <w:rFonts w:ascii="GE Inspira" w:eastAsia="Times" w:hAnsi="GE Inspira"/>
          <w:kern w:val="8"/>
          <w:sz w:val="22"/>
          <w:szCs w:val="22"/>
          <w:lang w:eastAsia="pl-PL"/>
        </w:rPr>
        <w:t>?</w:t>
      </w:r>
    </w:p>
    <w:p w:rsidR="006E7307" w:rsidRPr="006E7307" w:rsidRDefault="006E7307" w:rsidP="006E7307">
      <w:pPr>
        <w:suppressAutoHyphens w:val="0"/>
        <w:jc w:val="both"/>
        <w:rPr>
          <w:rFonts w:ascii="GE Inspira" w:eastAsia="Times" w:hAnsi="GE Inspira"/>
          <w:kern w:val="8"/>
          <w:sz w:val="22"/>
          <w:szCs w:val="22"/>
          <w:lang w:eastAsia="pl-PL"/>
        </w:rPr>
      </w:pPr>
    </w:p>
    <w:p w:rsidR="006E7307" w:rsidRPr="006E7307" w:rsidRDefault="006E7307" w:rsidP="006E7307">
      <w:pPr>
        <w:numPr>
          <w:ilvl w:val="0"/>
          <w:numId w:val="27"/>
        </w:numPr>
        <w:suppressAutoHyphens w:val="0"/>
        <w:spacing w:line="280" w:lineRule="exact"/>
        <w:jc w:val="both"/>
        <w:rPr>
          <w:rFonts w:ascii="GE Inspira" w:eastAsia="Times" w:hAnsi="GE Inspira"/>
          <w:kern w:val="8"/>
          <w:sz w:val="22"/>
          <w:szCs w:val="22"/>
          <w:lang w:eastAsia="pl-PL"/>
        </w:rPr>
      </w:pPr>
      <w:r w:rsidRPr="006E7307">
        <w:rPr>
          <w:rFonts w:ascii="GE Inspira" w:eastAsia="Times" w:hAnsi="GE Inspira"/>
          <w:kern w:val="8"/>
          <w:sz w:val="22"/>
          <w:szCs w:val="22"/>
          <w:lang w:eastAsia="pl-PL"/>
        </w:rPr>
        <w:t>Czy w przypadku braku odpowiedniego łącza Zamawiający zgodzi się na uruchomienie zdalnej diagnostyki z wykorzystaniem urządzenia sieciowego Wykonawcy z modułem 3G opłacanym przez Wykonawcę?</w:t>
      </w:r>
    </w:p>
    <w:p w:rsidR="006E7307" w:rsidRPr="006E7307" w:rsidRDefault="006E7307" w:rsidP="006E7307">
      <w:pPr>
        <w:suppressAutoHyphens w:val="0"/>
        <w:spacing w:after="200" w:line="276" w:lineRule="auto"/>
        <w:ind w:left="720"/>
        <w:contextualSpacing/>
        <w:rPr>
          <w:rFonts w:ascii="Calibri" w:eastAsia="Calibri" w:hAnsi="Calibri"/>
          <w:sz w:val="22"/>
          <w:szCs w:val="22"/>
          <w:lang w:eastAsia="pl-PL"/>
        </w:rPr>
      </w:pPr>
    </w:p>
    <w:p w:rsidR="006E7307" w:rsidRPr="006E7307" w:rsidRDefault="006E7307" w:rsidP="006E7307">
      <w:pPr>
        <w:suppressAutoHyphens w:val="0"/>
        <w:jc w:val="both"/>
        <w:rPr>
          <w:rFonts w:ascii="GE Inspira" w:eastAsia="Times" w:hAnsi="GE Inspira"/>
          <w:kern w:val="8"/>
          <w:sz w:val="22"/>
          <w:szCs w:val="22"/>
          <w:lang w:eastAsia="pl-PL"/>
        </w:rPr>
      </w:pPr>
    </w:p>
    <w:p w:rsidR="006E7307" w:rsidRPr="006E7307" w:rsidRDefault="006E7307" w:rsidP="006E7307">
      <w:pPr>
        <w:numPr>
          <w:ilvl w:val="0"/>
          <w:numId w:val="27"/>
        </w:numPr>
        <w:suppressAutoHyphens w:val="0"/>
        <w:spacing w:line="280" w:lineRule="exact"/>
        <w:jc w:val="both"/>
        <w:rPr>
          <w:rFonts w:ascii="GE Inspira" w:eastAsia="Times" w:hAnsi="GE Inspira"/>
          <w:kern w:val="8"/>
          <w:sz w:val="22"/>
          <w:szCs w:val="22"/>
          <w:lang w:eastAsia="pl-PL"/>
        </w:rPr>
      </w:pPr>
      <w:r w:rsidRPr="006E7307">
        <w:rPr>
          <w:rFonts w:ascii="GE Inspira" w:eastAsia="Times" w:hAnsi="GE Inspira"/>
          <w:kern w:val="8"/>
          <w:sz w:val="22"/>
          <w:szCs w:val="22"/>
          <w:lang w:eastAsia="pl-PL"/>
        </w:rPr>
        <w:t>Czy Zamawiający dopuści i podpisze zgodny z RODO wzór umowy powierzenia przetwarzania danych załączony do dokumentacji (z możliwością modyfikacji po obopólnym uzgodnieniu)?</w:t>
      </w:r>
    </w:p>
    <w:p w:rsidR="006E7307" w:rsidRPr="006E7307" w:rsidRDefault="006E7307" w:rsidP="006E7307">
      <w:pPr>
        <w:suppressAutoHyphens w:val="0"/>
        <w:ind w:left="720"/>
        <w:jc w:val="both"/>
        <w:rPr>
          <w:rFonts w:ascii="GE Inspira" w:eastAsia="Times" w:hAnsi="GE Inspira"/>
          <w:kern w:val="8"/>
          <w:sz w:val="22"/>
          <w:szCs w:val="22"/>
          <w:lang w:eastAsia="pl-PL"/>
        </w:rPr>
      </w:pPr>
    </w:p>
    <w:p w:rsidR="006E7307" w:rsidRPr="006E7307" w:rsidRDefault="006E7307" w:rsidP="006E7307">
      <w:pPr>
        <w:numPr>
          <w:ilvl w:val="0"/>
          <w:numId w:val="27"/>
        </w:numPr>
        <w:suppressAutoHyphens w:val="0"/>
        <w:spacing w:line="280" w:lineRule="exact"/>
        <w:jc w:val="both"/>
        <w:rPr>
          <w:rFonts w:ascii="GE Inspira" w:eastAsia="Times" w:hAnsi="GE Inspira"/>
          <w:kern w:val="8"/>
          <w:sz w:val="22"/>
          <w:szCs w:val="22"/>
          <w:lang w:eastAsia="pl-PL"/>
        </w:rPr>
      </w:pPr>
      <w:r w:rsidRPr="006E7307">
        <w:rPr>
          <w:rFonts w:ascii="GE Inspira" w:hAnsi="GE Inspira"/>
          <w:b/>
          <w:kern w:val="8"/>
          <w:sz w:val="22"/>
          <w:szCs w:val="22"/>
          <w:lang w:eastAsia="en-US"/>
        </w:rPr>
        <w:t xml:space="preserve">Dotyczy wzoru umowy § 9 ust. 7.2b): </w:t>
      </w:r>
      <w:r w:rsidRPr="006E7307">
        <w:rPr>
          <w:rFonts w:ascii="GE Inspira" w:hAnsi="GE Inspira"/>
          <w:kern w:val="8"/>
          <w:sz w:val="22"/>
          <w:szCs w:val="22"/>
          <w:lang w:eastAsia="en-US"/>
        </w:rPr>
        <w:t>czy Zamawiający wyrazi zgodę na następującą modyfikację zapisu umowy: „</w:t>
      </w:r>
      <w:r w:rsidRPr="006E7307">
        <w:rPr>
          <w:rFonts w:ascii="GE Inspira" w:hAnsi="GE Inspira"/>
          <w:i/>
          <w:kern w:val="8"/>
          <w:sz w:val="22"/>
          <w:szCs w:val="22"/>
          <w:lang w:eastAsia="en-US"/>
        </w:rPr>
        <w:t>b) personelu technicznego – w zakresie pozwalającym na wykonywanie diagnostyki stanu technicznego poszczególnych elementów wyposażenia i aparatury medycznej, a także wykonywanie podstawowych czynności serwisowych w terminach uzgodnionych przez Strony</w:t>
      </w:r>
      <w:r w:rsidRPr="006E7307">
        <w:rPr>
          <w:rFonts w:ascii="GE Inspira" w:hAnsi="GE Inspira"/>
          <w:kern w:val="8"/>
          <w:sz w:val="22"/>
          <w:szCs w:val="22"/>
          <w:lang w:eastAsia="en-US"/>
        </w:rPr>
        <w:t>”.</w:t>
      </w:r>
    </w:p>
    <w:p w:rsidR="006E7307" w:rsidRPr="006E7307" w:rsidRDefault="006E7307" w:rsidP="006E7307">
      <w:pPr>
        <w:suppressAutoHyphens w:val="0"/>
        <w:jc w:val="both"/>
        <w:rPr>
          <w:rFonts w:ascii="GE Inspira" w:eastAsia="Times" w:hAnsi="GE Inspira"/>
          <w:kern w:val="8"/>
          <w:sz w:val="22"/>
          <w:szCs w:val="22"/>
          <w:lang w:eastAsia="pl-PL"/>
        </w:rPr>
      </w:pPr>
    </w:p>
    <w:p w:rsidR="006E7307" w:rsidRPr="006E7307" w:rsidRDefault="006E7307" w:rsidP="006E7307">
      <w:pPr>
        <w:numPr>
          <w:ilvl w:val="0"/>
          <w:numId w:val="27"/>
        </w:numPr>
        <w:suppressAutoHyphens w:val="0"/>
        <w:spacing w:line="280" w:lineRule="exact"/>
        <w:jc w:val="both"/>
        <w:rPr>
          <w:rFonts w:ascii="GE Inspira" w:eastAsia="Times" w:hAnsi="GE Inspira"/>
          <w:kern w:val="8"/>
          <w:sz w:val="22"/>
          <w:szCs w:val="22"/>
          <w:lang w:eastAsia="pl-PL"/>
        </w:rPr>
      </w:pPr>
      <w:r w:rsidRPr="006E7307">
        <w:rPr>
          <w:rFonts w:ascii="GE Inspira" w:hAnsi="GE Inspira"/>
          <w:b/>
          <w:kern w:val="8"/>
          <w:sz w:val="22"/>
          <w:szCs w:val="22"/>
          <w:lang w:eastAsia="en-US"/>
        </w:rPr>
        <w:t xml:space="preserve">Dotyczy wzoru umowy § 15 ust. 7: </w:t>
      </w:r>
      <w:r w:rsidRPr="006E7307">
        <w:rPr>
          <w:rFonts w:ascii="GE Inspira" w:hAnsi="GE Inspira"/>
          <w:kern w:val="8"/>
          <w:sz w:val="22"/>
          <w:szCs w:val="22"/>
          <w:lang w:eastAsia="en-US"/>
        </w:rPr>
        <w:t>czy Zamawiający wyrazi zgodę na następującą modyfikację zapisu umowy: „</w:t>
      </w:r>
      <w:r w:rsidRPr="006E7307">
        <w:rPr>
          <w:rFonts w:ascii="GE Inspira" w:hAnsi="GE Inspira"/>
          <w:i/>
          <w:kern w:val="8"/>
          <w:sz w:val="22"/>
          <w:szCs w:val="22"/>
          <w:lang w:eastAsia="en-US"/>
        </w:rPr>
        <w:t xml:space="preserve">Maksymalny czas usunięcia wady (liczony od dnia otrzymania </w:t>
      </w:r>
      <w:proofErr w:type="spellStart"/>
      <w:r w:rsidRPr="006E7307">
        <w:rPr>
          <w:rFonts w:ascii="GE Inspira" w:hAnsi="GE Inspira"/>
          <w:i/>
          <w:kern w:val="8"/>
          <w:sz w:val="22"/>
          <w:szCs w:val="22"/>
          <w:lang w:eastAsia="en-US"/>
        </w:rPr>
        <w:t>zgłsozenia</w:t>
      </w:r>
      <w:proofErr w:type="spellEnd"/>
      <w:r w:rsidRPr="006E7307">
        <w:rPr>
          <w:rFonts w:ascii="GE Inspira" w:hAnsi="GE Inspira"/>
          <w:i/>
          <w:kern w:val="8"/>
          <w:sz w:val="22"/>
          <w:szCs w:val="22"/>
          <w:lang w:eastAsia="en-US"/>
        </w:rPr>
        <w:t xml:space="preserve"> awarii) oraz naprawy wszelkiej wynikającej z niej szkody nie może przekroczyć 7 dni roboczych (w przypadku konieczności importu części zamiennych spoza UE), z zastrzeżeniem ust. 8 i ust. 9. Usunięcie wady uznaje się za skuteczne z chwilą podpisania Karty pracy serwisu.</w:t>
      </w:r>
      <w:r w:rsidRPr="006E7307">
        <w:rPr>
          <w:rFonts w:ascii="GE Inspira" w:hAnsi="GE Inspira"/>
          <w:kern w:val="8"/>
          <w:sz w:val="22"/>
          <w:szCs w:val="22"/>
          <w:lang w:eastAsia="en-US"/>
        </w:rPr>
        <w:t>”</w:t>
      </w:r>
    </w:p>
    <w:p w:rsidR="006E7307" w:rsidRPr="006E7307" w:rsidRDefault="006E7307" w:rsidP="006E7307">
      <w:pPr>
        <w:suppressAutoHyphens w:val="0"/>
        <w:jc w:val="both"/>
        <w:rPr>
          <w:rFonts w:ascii="GE Inspira" w:eastAsia="Times" w:hAnsi="GE Inspira"/>
          <w:kern w:val="8"/>
          <w:sz w:val="22"/>
          <w:szCs w:val="22"/>
          <w:lang w:eastAsia="pl-PL"/>
        </w:rPr>
      </w:pPr>
    </w:p>
    <w:p w:rsidR="006E7307" w:rsidRPr="006E7307" w:rsidRDefault="006E7307" w:rsidP="006E7307">
      <w:pPr>
        <w:numPr>
          <w:ilvl w:val="0"/>
          <w:numId w:val="27"/>
        </w:numPr>
        <w:suppressAutoHyphens w:val="0"/>
        <w:spacing w:line="280" w:lineRule="exact"/>
        <w:jc w:val="both"/>
        <w:rPr>
          <w:rFonts w:ascii="GE Inspira" w:eastAsia="Times" w:hAnsi="GE Inspira"/>
          <w:kern w:val="8"/>
          <w:sz w:val="22"/>
          <w:szCs w:val="22"/>
          <w:lang w:eastAsia="pl-PL"/>
        </w:rPr>
      </w:pPr>
      <w:r w:rsidRPr="006E7307">
        <w:rPr>
          <w:rFonts w:ascii="GE Inspira" w:hAnsi="GE Inspira"/>
          <w:b/>
          <w:kern w:val="8"/>
          <w:sz w:val="22"/>
          <w:szCs w:val="22"/>
          <w:lang w:eastAsia="en-US"/>
        </w:rPr>
        <w:t xml:space="preserve">Dotyczy wzoru umowy § 15 ust. 10: </w:t>
      </w:r>
      <w:r w:rsidRPr="006E7307">
        <w:rPr>
          <w:rFonts w:ascii="GE Inspira" w:hAnsi="GE Inspira"/>
          <w:kern w:val="8"/>
          <w:sz w:val="22"/>
          <w:szCs w:val="22"/>
          <w:lang w:eastAsia="en-US"/>
        </w:rPr>
        <w:t xml:space="preserve">czy Zamawiający wyrazi zgodę na następującą modyfikację zapisu umowy: </w:t>
      </w:r>
      <w:r w:rsidRPr="006E7307">
        <w:rPr>
          <w:rFonts w:ascii="GE Inspira" w:hAnsi="GE Inspira"/>
          <w:i/>
          <w:kern w:val="8"/>
          <w:sz w:val="22"/>
          <w:szCs w:val="22"/>
          <w:lang w:eastAsia="en-US"/>
        </w:rPr>
        <w:t xml:space="preserve">„Termin gwarancji dla przedmiotu zamówienia biegnie na nowo od chwili jego wymiany na wolny od wad. W przypadku wymiany elementu przedmiotu </w:t>
      </w:r>
      <w:proofErr w:type="spellStart"/>
      <w:r w:rsidRPr="006E7307">
        <w:rPr>
          <w:rFonts w:ascii="GE Inspira" w:hAnsi="GE Inspira"/>
          <w:i/>
          <w:kern w:val="8"/>
          <w:sz w:val="22"/>
          <w:szCs w:val="22"/>
          <w:lang w:eastAsia="en-US"/>
        </w:rPr>
        <w:t>zamowienia</w:t>
      </w:r>
      <w:proofErr w:type="spellEnd"/>
      <w:r w:rsidRPr="006E7307">
        <w:rPr>
          <w:rFonts w:ascii="GE Inspira" w:hAnsi="GE Inspira"/>
          <w:i/>
          <w:kern w:val="8"/>
          <w:sz w:val="22"/>
          <w:szCs w:val="22"/>
          <w:lang w:eastAsia="en-US"/>
        </w:rPr>
        <w:t xml:space="preserve"> gwarancja na wymieniony element kończy się wraz z końcem gwarancji na przedmiot zamówienia</w:t>
      </w:r>
      <w:r w:rsidRPr="006E7307">
        <w:rPr>
          <w:rFonts w:ascii="GE Inspira" w:hAnsi="GE Inspira"/>
          <w:kern w:val="8"/>
          <w:sz w:val="22"/>
          <w:szCs w:val="22"/>
          <w:lang w:eastAsia="en-US"/>
        </w:rPr>
        <w:t>”,</w:t>
      </w:r>
    </w:p>
    <w:p w:rsidR="006E7307" w:rsidRPr="006E7307" w:rsidRDefault="006E7307" w:rsidP="006E7307">
      <w:pPr>
        <w:suppressAutoHyphens w:val="0"/>
        <w:jc w:val="both"/>
        <w:rPr>
          <w:rFonts w:ascii="GE Inspira" w:eastAsia="Times" w:hAnsi="GE Inspira"/>
          <w:kern w:val="8"/>
          <w:sz w:val="22"/>
          <w:szCs w:val="22"/>
          <w:lang w:eastAsia="pl-PL"/>
        </w:rPr>
      </w:pPr>
    </w:p>
    <w:p w:rsidR="006E7307" w:rsidRPr="006E7307" w:rsidRDefault="006E7307" w:rsidP="006E7307">
      <w:pPr>
        <w:numPr>
          <w:ilvl w:val="0"/>
          <w:numId w:val="27"/>
        </w:numPr>
        <w:suppressAutoHyphens w:val="0"/>
        <w:spacing w:line="280" w:lineRule="exact"/>
        <w:jc w:val="both"/>
        <w:rPr>
          <w:rFonts w:ascii="GE Inspira" w:eastAsia="Calibri" w:hAnsi="GE Inspira"/>
          <w:sz w:val="22"/>
          <w:szCs w:val="22"/>
          <w:lang w:eastAsia="en-US"/>
        </w:rPr>
      </w:pPr>
      <w:r w:rsidRPr="006E7307">
        <w:rPr>
          <w:rFonts w:ascii="GE Inspira" w:hAnsi="GE Inspira"/>
          <w:b/>
          <w:sz w:val="22"/>
          <w:szCs w:val="22"/>
          <w:lang w:eastAsia="en-US"/>
        </w:rPr>
        <w:lastRenderedPageBreak/>
        <w:t>Dotyczy wzoru umowy § 15 ust. 13:</w:t>
      </w:r>
      <w:r w:rsidRPr="006E7307">
        <w:rPr>
          <w:rFonts w:ascii="Calibri" w:hAnsi="Calibri"/>
          <w:b/>
          <w:sz w:val="22"/>
          <w:szCs w:val="22"/>
          <w:lang w:eastAsia="en-US"/>
        </w:rPr>
        <w:t xml:space="preserve"> </w:t>
      </w:r>
      <w:r w:rsidRPr="006E7307">
        <w:rPr>
          <w:rFonts w:ascii="GE Inspira" w:eastAsia="Calibri" w:hAnsi="GE Inspira"/>
          <w:sz w:val="22"/>
          <w:szCs w:val="22"/>
          <w:lang w:eastAsia="en-US"/>
        </w:rPr>
        <w:t>Prosimy Zamawiającego o potwierdzenie, że opisane uprawnienie dotyczy wyłącznie wymienionych elementów, a nie dotyczy np. odnowienia gwarancji na cały aparat. Normą jest, że w trakcie użytkowania aparatury medycznej wysokiej klasy dochodzi do powstania drobnych usterek, niekiedy wymagających wymiany elementu sprzętu. Odnowienie gwarancji na całe urządzenie byłoby znacznym obciążeniem Wykonawcy i skutkowałoby większym ryzykiem                i podwyższeniem ceny oferty. Odnowienie gwarancji na wymienione elementy zabezpieczy interes Zamawiającego, a Wykonawcy pozwoli na uniknięcie nadmiernego, nierynkowego ryzyka.</w:t>
      </w:r>
    </w:p>
    <w:p w:rsidR="006E7307" w:rsidRPr="006E7307" w:rsidRDefault="006E7307" w:rsidP="006E7307">
      <w:pPr>
        <w:suppressAutoHyphens w:val="0"/>
        <w:ind w:left="720"/>
        <w:jc w:val="both"/>
        <w:rPr>
          <w:rFonts w:ascii="GE Inspira" w:eastAsia="Calibri" w:hAnsi="GE Inspira"/>
          <w:sz w:val="22"/>
          <w:szCs w:val="22"/>
          <w:lang w:eastAsia="en-US"/>
        </w:rPr>
      </w:pPr>
      <w:r w:rsidRPr="006E7307">
        <w:rPr>
          <w:rFonts w:ascii="GE Inspira" w:eastAsia="Calibri" w:hAnsi="GE Inspira"/>
          <w:sz w:val="22"/>
          <w:szCs w:val="22"/>
          <w:lang w:eastAsia="en-US"/>
        </w:rPr>
        <w:t>Dodatkowo prosimy o potwierdzenie, że odnowienie gwarancji nie dotyczy elementów zużywalnych.</w:t>
      </w:r>
    </w:p>
    <w:p w:rsidR="006E7307" w:rsidRPr="006E7307" w:rsidRDefault="006E7307" w:rsidP="006E7307">
      <w:pPr>
        <w:suppressAutoHyphens w:val="0"/>
        <w:jc w:val="both"/>
        <w:rPr>
          <w:rFonts w:ascii="GE Inspira" w:eastAsia="Calibri" w:hAnsi="GE Inspira"/>
          <w:sz w:val="22"/>
          <w:szCs w:val="22"/>
          <w:lang w:eastAsia="en-US"/>
        </w:rPr>
      </w:pPr>
    </w:p>
    <w:p w:rsidR="006E7307" w:rsidRPr="006E7307" w:rsidRDefault="006E7307" w:rsidP="006E7307">
      <w:pPr>
        <w:suppressAutoHyphens w:val="0"/>
        <w:ind w:left="720" w:firstLine="720"/>
        <w:jc w:val="both"/>
        <w:rPr>
          <w:rFonts w:ascii="GE Inspira" w:eastAsia="Calibri" w:hAnsi="GE Inspira"/>
          <w:sz w:val="22"/>
          <w:szCs w:val="22"/>
          <w:lang w:eastAsia="en-US"/>
        </w:rPr>
      </w:pPr>
      <w:r w:rsidRPr="006E7307">
        <w:rPr>
          <w:rFonts w:ascii="GE Inspira" w:eastAsia="Calibri" w:hAnsi="GE Inspira"/>
          <w:sz w:val="22"/>
          <w:szCs w:val="22"/>
          <w:lang w:eastAsia="en-US"/>
        </w:rPr>
        <w:t>Prosimy Zamawiającego o wyjaśnienie, czy zgodzi się zmodyfikować Załącznik nr 12 do SIWZ – Wzór umowy - § 16 ust. 13 w następujący sposób:</w:t>
      </w:r>
    </w:p>
    <w:p w:rsidR="006E7307" w:rsidRPr="006E7307" w:rsidRDefault="006E7307" w:rsidP="006E7307">
      <w:pPr>
        <w:suppressAutoHyphens w:val="0"/>
        <w:jc w:val="both"/>
        <w:rPr>
          <w:rFonts w:ascii="GE Inspira" w:eastAsia="Calibri" w:hAnsi="GE Inspira"/>
          <w:sz w:val="22"/>
          <w:szCs w:val="22"/>
          <w:lang w:eastAsia="en-US"/>
        </w:rPr>
      </w:pPr>
    </w:p>
    <w:p w:rsidR="006E7307" w:rsidRPr="006E7307" w:rsidRDefault="006E7307" w:rsidP="006E7307">
      <w:pPr>
        <w:suppressAutoHyphens w:val="0"/>
        <w:jc w:val="both"/>
        <w:rPr>
          <w:rFonts w:ascii="GE Inspira" w:eastAsia="Calibri" w:hAnsi="GE Inspira"/>
          <w:sz w:val="22"/>
          <w:szCs w:val="22"/>
          <w:lang w:eastAsia="en-US"/>
        </w:rPr>
      </w:pPr>
    </w:p>
    <w:p w:rsidR="006E7307" w:rsidRPr="006E7307" w:rsidRDefault="006E7307" w:rsidP="006E7307">
      <w:pPr>
        <w:suppressAutoHyphens w:val="0"/>
        <w:autoSpaceDE w:val="0"/>
        <w:autoSpaceDN w:val="0"/>
        <w:adjustRightInd w:val="0"/>
        <w:jc w:val="both"/>
        <w:rPr>
          <w:rFonts w:ascii="GE Inspira" w:eastAsia="Calibri" w:hAnsi="GE Inspira" w:cs="Arial"/>
          <w:i/>
          <w:color w:val="000000"/>
          <w:sz w:val="22"/>
          <w:szCs w:val="22"/>
          <w:lang w:eastAsia="en-US"/>
        </w:rPr>
      </w:pPr>
      <w:r w:rsidRPr="006E7307">
        <w:rPr>
          <w:rFonts w:ascii="GE Inspira" w:eastAsia="Calibri" w:hAnsi="GE Inspira" w:cs="Arial"/>
          <w:i/>
          <w:color w:val="000000"/>
          <w:sz w:val="22"/>
          <w:szCs w:val="22"/>
          <w:lang w:eastAsia="en-US"/>
        </w:rPr>
        <w:t xml:space="preserve">13. Jeżeli w ramach gwarancji Wykonawca dokonał usunięcia wad istotnych, termin gwarancji biegnie na nowo od chwili usunięcia wady </w:t>
      </w:r>
      <w:r w:rsidRPr="006E7307">
        <w:rPr>
          <w:rFonts w:ascii="GE Inspira" w:eastAsia="Calibri" w:hAnsi="GE Inspira" w:cs="Arial"/>
          <w:b/>
          <w:i/>
          <w:color w:val="000000"/>
          <w:sz w:val="22"/>
          <w:szCs w:val="22"/>
          <w:lang w:eastAsia="en-US"/>
        </w:rPr>
        <w:t>w stosunku do wymienionych elementów aparatu</w:t>
      </w:r>
      <w:r w:rsidRPr="006E7307">
        <w:rPr>
          <w:rFonts w:ascii="GE Inspira" w:eastAsia="Calibri" w:hAnsi="GE Inspira" w:cs="Arial"/>
          <w:i/>
          <w:color w:val="000000"/>
          <w:sz w:val="22"/>
          <w:szCs w:val="22"/>
          <w:lang w:eastAsia="en-US"/>
        </w:rPr>
        <w:t xml:space="preserve">. W innych wypadkach termin gwarancji ulega przedłużeniu o czas, w którym wada była usuwana. </w:t>
      </w:r>
      <w:r w:rsidRPr="006E7307">
        <w:rPr>
          <w:rFonts w:ascii="GE Inspira" w:eastAsia="Calibri" w:hAnsi="GE Inspira" w:cs="Arial"/>
          <w:b/>
          <w:i/>
          <w:color w:val="000000"/>
          <w:sz w:val="22"/>
          <w:szCs w:val="22"/>
          <w:lang w:eastAsia="en-US"/>
        </w:rPr>
        <w:t>Gwarancja na elementy zużywalne aparatu nie jest odnawialna, tj. w przypadku wymiany tych elementów w czasie trwania gwarancji nie biegnie ona na nowo.</w:t>
      </w:r>
    </w:p>
    <w:p w:rsidR="006E7307" w:rsidRPr="006E7307" w:rsidRDefault="006E7307" w:rsidP="006E7307">
      <w:pPr>
        <w:suppressAutoHyphens w:val="0"/>
        <w:jc w:val="both"/>
        <w:rPr>
          <w:rFonts w:ascii="GE Inspira" w:eastAsia="Times" w:hAnsi="GE Inspira"/>
          <w:kern w:val="8"/>
          <w:sz w:val="22"/>
          <w:szCs w:val="22"/>
          <w:lang w:eastAsia="pl-PL"/>
        </w:rPr>
      </w:pPr>
    </w:p>
    <w:p w:rsidR="006E7307" w:rsidRPr="006E7307" w:rsidRDefault="006E7307" w:rsidP="006E7307">
      <w:pPr>
        <w:numPr>
          <w:ilvl w:val="0"/>
          <w:numId w:val="27"/>
        </w:numPr>
        <w:suppressAutoHyphens w:val="0"/>
        <w:spacing w:line="280" w:lineRule="exact"/>
        <w:jc w:val="both"/>
        <w:rPr>
          <w:rFonts w:ascii="GE Inspira" w:eastAsia="Times" w:hAnsi="GE Inspira"/>
          <w:kern w:val="8"/>
          <w:sz w:val="22"/>
          <w:szCs w:val="22"/>
          <w:lang w:eastAsia="en-US"/>
        </w:rPr>
      </w:pPr>
      <w:r w:rsidRPr="006E7307">
        <w:rPr>
          <w:rFonts w:ascii="GE Inspira" w:hAnsi="GE Inspira"/>
          <w:b/>
          <w:kern w:val="8"/>
          <w:sz w:val="22"/>
          <w:szCs w:val="22"/>
          <w:lang w:eastAsia="en-US"/>
        </w:rPr>
        <w:t xml:space="preserve">Dotyczy wzoru umowy § 15 ust. 14: </w:t>
      </w:r>
      <w:r w:rsidRPr="006E7307">
        <w:rPr>
          <w:rFonts w:ascii="GE Inspira" w:eastAsia="Times" w:hAnsi="GE Inspira"/>
          <w:kern w:val="8"/>
          <w:sz w:val="22"/>
          <w:szCs w:val="22"/>
          <w:lang w:eastAsia="en-US"/>
        </w:rPr>
        <w:t xml:space="preserve">Wykonawca nie może ponosić ryzyka związanego z konsekwencjami działań serwisowych podmiotów niezależnych od Wykonawcy i o nieznanych dla Wykonawcy kompetencjach i systemie zapewnienia jakości świadczonych usług. Wykonawca nie może być zmuszany do ponoszenia odpowiedzialności z tytułu rękojmi i/lub gwarancji dla aparatu, w którym mogły zostać dokonane naprawy lub modyfikacje niezgodne z zaleceniami producenta i stanowiące potencjalne zagrożenie bezpieczeństwa obsługi i pacjentów badanych za pomocą aparatu. Chcemy również zauważyć, że zapis umowy może potencjalnie obciążać Wykonawcę odpowiedzialnością za szkodę wyrządzoną przez inny podmiot, a więc jest niezgodny z art. 361 § 1 </w:t>
      </w:r>
      <w:proofErr w:type="spellStart"/>
      <w:r w:rsidRPr="006E7307">
        <w:rPr>
          <w:rFonts w:ascii="GE Inspira" w:eastAsia="Times" w:hAnsi="GE Inspira"/>
          <w:kern w:val="8"/>
          <w:sz w:val="22"/>
          <w:szCs w:val="22"/>
          <w:lang w:eastAsia="en-US"/>
        </w:rPr>
        <w:t>kc</w:t>
      </w:r>
      <w:proofErr w:type="spellEnd"/>
      <w:r w:rsidRPr="006E7307">
        <w:rPr>
          <w:rFonts w:ascii="GE Inspira" w:eastAsia="Times" w:hAnsi="GE Inspira"/>
          <w:kern w:val="8"/>
          <w:sz w:val="22"/>
          <w:szCs w:val="22"/>
          <w:lang w:eastAsia="en-US"/>
        </w:rPr>
        <w:t>. W związku z powyższym wnosimy o odstąpienie od zapisu umowy bądź dodanie zastrzeżenia, iż usunięcie wady zostanie powierzone serwisowi autoryzowanemu przez producenta urządzenia.</w:t>
      </w:r>
    </w:p>
    <w:p w:rsidR="006E7307" w:rsidRPr="006E7307" w:rsidRDefault="006E7307" w:rsidP="006E7307">
      <w:pPr>
        <w:suppressAutoHyphens w:val="0"/>
        <w:spacing w:line="280" w:lineRule="exact"/>
        <w:jc w:val="both"/>
        <w:rPr>
          <w:rFonts w:ascii="GE Inspira" w:eastAsia="Times" w:hAnsi="GE Inspira"/>
          <w:kern w:val="8"/>
          <w:sz w:val="22"/>
          <w:szCs w:val="22"/>
          <w:lang w:eastAsia="en-US"/>
        </w:rPr>
      </w:pPr>
    </w:p>
    <w:p w:rsidR="006E7307" w:rsidRPr="006E7307" w:rsidRDefault="006E7307" w:rsidP="006E7307">
      <w:pPr>
        <w:numPr>
          <w:ilvl w:val="0"/>
          <w:numId w:val="27"/>
        </w:numPr>
        <w:suppressAutoHyphens w:val="0"/>
        <w:spacing w:line="280" w:lineRule="exact"/>
        <w:jc w:val="both"/>
        <w:rPr>
          <w:rFonts w:ascii="GE Inspira" w:eastAsia="Times" w:hAnsi="GE Inspira"/>
          <w:kern w:val="8"/>
          <w:sz w:val="22"/>
          <w:szCs w:val="22"/>
          <w:lang w:eastAsia="pl-PL"/>
        </w:rPr>
      </w:pPr>
      <w:r w:rsidRPr="006E7307">
        <w:rPr>
          <w:rFonts w:ascii="GE Inspira" w:hAnsi="GE Inspira"/>
          <w:b/>
          <w:kern w:val="8"/>
          <w:sz w:val="22"/>
          <w:szCs w:val="22"/>
          <w:lang w:eastAsia="en-US"/>
        </w:rPr>
        <w:t xml:space="preserve">Dotyczy wzoru umowy § 15 ust. 16: </w:t>
      </w:r>
      <w:r w:rsidRPr="006E7307">
        <w:rPr>
          <w:rFonts w:ascii="GE Inspira" w:hAnsi="GE Inspira"/>
          <w:kern w:val="8"/>
          <w:sz w:val="22"/>
          <w:szCs w:val="22"/>
          <w:lang w:eastAsia="en-US"/>
        </w:rPr>
        <w:t xml:space="preserve">czy Zamawiający wyrazi zgodę na następującą modyfikację zapisu umowy: </w:t>
      </w:r>
      <w:r w:rsidRPr="006E7307">
        <w:rPr>
          <w:rFonts w:ascii="GE Inspira" w:hAnsi="GE Inspira"/>
          <w:i/>
          <w:kern w:val="8"/>
          <w:sz w:val="22"/>
          <w:szCs w:val="22"/>
          <w:lang w:eastAsia="en-US"/>
        </w:rPr>
        <w:t xml:space="preserve">„Termin i godzinę dokonania przeglądu gwarancyjnego wyznacza </w:t>
      </w:r>
      <w:proofErr w:type="spellStart"/>
      <w:r w:rsidRPr="006E7307">
        <w:rPr>
          <w:rFonts w:ascii="GE Inspira" w:hAnsi="GE Inspira"/>
          <w:i/>
          <w:kern w:val="8"/>
          <w:sz w:val="22"/>
          <w:szCs w:val="22"/>
          <w:lang w:eastAsia="en-US"/>
        </w:rPr>
        <w:t>Zamawiajacy</w:t>
      </w:r>
      <w:proofErr w:type="spellEnd"/>
      <w:r w:rsidRPr="006E7307">
        <w:rPr>
          <w:rFonts w:ascii="GE Inspira" w:hAnsi="GE Inspira"/>
          <w:i/>
          <w:kern w:val="8"/>
          <w:sz w:val="22"/>
          <w:szCs w:val="22"/>
          <w:lang w:eastAsia="en-US"/>
        </w:rPr>
        <w:t xml:space="preserve"> w uzgodnieniu z Wykonawcą, zawiadamiając o nim Wykonawcę zgodnie z wyborem pisemnie lub za pośrednictwem faksu lub poczty elektronicznej z co najmniej 7-dniowym wyprzedzeniem</w:t>
      </w:r>
      <w:r w:rsidRPr="006E7307">
        <w:rPr>
          <w:rFonts w:ascii="GE Inspira" w:hAnsi="GE Inspira"/>
          <w:kern w:val="8"/>
          <w:sz w:val="22"/>
          <w:szCs w:val="22"/>
          <w:lang w:eastAsia="en-US"/>
        </w:rPr>
        <w:t>”.</w:t>
      </w:r>
    </w:p>
    <w:p w:rsidR="006E7307" w:rsidRPr="006E7307" w:rsidRDefault="006E7307" w:rsidP="006E7307">
      <w:pPr>
        <w:suppressAutoHyphens w:val="0"/>
        <w:spacing w:after="200" w:line="276" w:lineRule="auto"/>
        <w:ind w:left="720"/>
        <w:contextualSpacing/>
        <w:rPr>
          <w:rFonts w:ascii="Calibri" w:eastAsia="Calibri" w:hAnsi="Calibri"/>
          <w:sz w:val="22"/>
          <w:szCs w:val="22"/>
          <w:lang w:eastAsia="pl-PL"/>
        </w:rPr>
      </w:pPr>
    </w:p>
    <w:p w:rsidR="006E7307" w:rsidRPr="006E7307" w:rsidRDefault="006E7307" w:rsidP="006E7307">
      <w:pPr>
        <w:numPr>
          <w:ilvl w:val="0"/>
          <w:numId w:val="27"/>
        </w:numPr>
        <w:suppressAutoHyphens w:val="0"/>
        <w:spacing w:line="280" w:lineRule="exact"/>
        <w:jc w:val="both"/>
        <w:rPr>
          <w:rFonts w:ascii="GE Inspira" w:eastAsia="Calibri" w:hAnsi="GE Inspira"/>
          <w:sz w:val="22"/>
          <w:szCs w:val="22"/>
          <w:lang w:eastAsia="en-US"/>
        </w:rPr>
      </w:pPr>
      <w:r w:rsidRPr="006E7307">
        <w:rPr>
          <w:rFonts w:ascii="GE Inspira" w:hAnsi="GE Inspira"/>
          <w:b/>
          <w:sz w:val="22"/>
          <w:szCs w:val="22"/>
          <w:lang w:eastAsia="en-US"/>
        </w:rPr>
        <w:t>Dotyczy wzoru umowy §</w:t>
      </w:r>
      <w:r w:rsidRPr="006E7307">
        <w:rPr>
          <w:rFonts w:ascii="Calibri" w:hAnsi="Calibri"/>
          <w:b/>
          <w:sz w:val="22"/>
          <w:szCs w:val="22"/>
          <w:lang w:eastAsia="en-US"/>
        </w:rPr>
        <w:t xml:space="preserve"> 17 ust. 2: </w:t>
      </w:r>
      <w:r w:rsidRPr="006E7307">
        <w:rPr>
          <w:rFonts w:ascii="GE Inspira" w:eastAsia="Calibri" w:hAnsi="GE Inspira"/>
          <w:sz w:val="22"/>
          <w:szCs w:val="22"/>
          <w:lang w:eastAsia="en-US"/>
        </w:rPr>
        <w:t>Z uwagi na to, że przedmiotem oferty jest szereg urządzeń medycznych, prosimy, aby kary umowne nie były liczone od ryczałtowej ceny oferty, a w stosunku do ceny każdego z urządzeń medycznych. Może zdarzyć się, że drobne opóźnienie będzie dotyczyło tylko jednego z urządzeń i niezasadne byłoby, żeby Wykonawca ponosił odpowiedzialność jak za opóźnienie w całości dostawy.</w:t>
      </w:r>
    </w:p>
    <w:p w:rsidR="006E7307" w:rsidRPr="006E7307" w:rsidRDefault="006E7307" w:rsidP="006E7307">
      <w:pPr>
        <w:suppressAutoHyphens w:val="0"/>
        <w:ind w:left="720"/>
        <w:jc w:val="both"/>
        <w:rPr>
          <w:rFonts w:ascii="GE Inspira" w:eastAsia="Calibri" w:hAnsi="GE Inspira"/>
          <w:sz w:val="22"/>
          <w:szCs w:val="22"/>
          <w:lang w:eastAsia="en-US"/>
        </w:rPr>
      </w:pPr>
    </w:p>
    <w:p w:rsidR="006E7307" w:rsidRPr="006E7307" w:rsidRDefault="006E7307" w:rsidP="006E7307">
      <w:pPr>
        <w:suppressAutoHyphens w:val="0"/>
        <w:ind w:left="720"/>
        <w:jc w:val="both"/>
        <w:rPr>
          <w:rFonts w:ascii="GE Inspira" w:eastAsia="Calibri" w:hAnsi="GE Inspira"/>
          <w:sz w:val="22"/>
          <w:szCs w:val="22"/>
          <w:lang w:eastAsia="en-US"/>
        </w:rPr>
      </w:pPr>
      <w:r w:rsidRPr="006E7307">
        <w:rPr>
          <w:rFonts w:ascii="GE Inspira" w:eastAsia="Calibri" w:hAnsi="GE Inspira"/>
          <w:sz w:val="22"/>
          <w:szCs w:val="22"/>
          <w:lang w:eastAsia="en-US"/>
        </w:rPr>
        <w:t>Prosimy Zamawiającego o wyjaśnienie, czy zgodzi się zmodyfikować Załącznik nr 12 do SIWZ – Wzór umowy - § 17 ust. 2 pp. 2 w następujący sposób:</w:t>
      </w:r>
    </w:p>
    <w:p w:rsidR="006E7307" w:rsidRPr="006E7307" w:rsidRDefault="006E7307" w:rsidP="006E7307">
      <w:pPr>
        <w:suppressAutoHyphens w:val="0"/>
        <w:ind w:left="360"/>
        <w:jc w:val="both"/>
        <w:rPr>
          <w:rFonts w:ascii="GE Inspira" w:eastAsia="Calibri" w:hAnsi="GE Inspira"/>
          <w:sz w:val="22"/>
          <w:szCs w:val="22"/>
          <w:lang w:eastAsia="en-US"/>
        </w:rPr>
      </w:pPr>
    </w:p>
    <w:p w:rsidR="006E7307" w:rsidRPr="006E7307" w:rsidRDefault="006E7307" w:rsidP="006E7307">
      <w:pPr>
        <w:suppressAutoHyphens w:val="0"/>
        <w:autoSpaceDE w:val="0"/>
        <w:autoSpaceDN w:val="0"/>
        <w:adjustRightInd w:val="0"/>
        <w:ind w:left="720"/>
        <w:jc w:val="both"/>
        <w:rPr>
          <w:rFonts w:ascii="GE Inspira" w:eastAsia="Calibri" w:hAnsi="GE Inspira" w:cs="Arial"/>
          <w:i/>
          <w:color w:val="000000"/>
          <w:sz w:val="22"/>
          <w:szCs w:val="22"/>
          <w:lang w:eastAsia="en-US"/>
        </w:rPr>
      </w:pPr>
      <w:r w:rsidRPr="006E7307">
        <w:rPr>
          <w:rFonts w:ascii="GE Inspira" w:eastAsia="Calibri" w:hAnsi="GE Inspira" w:cs="Arial"/>
          <w:color w:val="000000"/>
          <w:sz w:val="22"/>
          <w:szCs w:val="22"/>
          <w:lang w:eastAsia="en-US"/>
        </w:rPr>
        <w:t xml:space="preserve">2. </w:t>
      </w:r>
      <w:r w:rsidRPr="006E7307">
        <w:rPr>
          <w:rFonts w:ascii="GE Inspira" w:eastAsia="Calibri" w:hAnsi="GE Inspira" w:cs="Arial"/>
          <w:i/>
          <w:color w:val="000000"/>
          <w:sz w:val="22"/>
          <w:szCs w:val="22"/>
          <w:lang w:eastAsia="en-US"/>
        </w:rPr>
        <w:t xml:space="preserve">Wykonawca zapłaci Zamawiającemu karę umowną: </w:t>
      </w:r>
    </w:p>
    <w:p w:rsidR="006E7307" w:rsidRPr="006E7307" w:rsidRDefault="006E7307" w:rsidP="006E7307">
      <w:pPr>
        <w:suppressAutoHyphens w:val="0"/>
        <w:autoSpaceDE w:val="0"/>
        <w:autoSpaceDN w:val="0"/>
        <w:adjustRightInd w:val="0"/>
        <w:ind w:left="720"/>
        <w:jc w:val="both"/>
        <w:rPr>
          <w:rFonts w:ascii="GE Inspira" w:eastAsia="Calibri" w:hAnsi="GE Inspira" w:cs="Arial"/>
          <w:i/>
          <w:color w:val="000000"/>
          <w:sz w:val="22"/>
          <w:szCs w:val="22"/>
          <w:lang w:eastAsia="en-US"/>
        </w:rPr>
      </w:pPr>
      <w:r w:rsidRPr="006E7307">
        <w:rPr>
          <w:rFonts w:ascii="GE Inspira" w:eastAsia="Calibri" w:hAnsi="GE Inspira" w:cs="Arial"/>
          <w:i/>
          <w:color w:val="000000"/>
          <w:sz w:val="22"/>
          <w:szCs w:val="22"/>
          <w:lang w:eastAsia="en-US"/>
        </w:rPr>
        <w:t xml:space="preserve">1) za opóźnienie w wykonaniu przedmiotu umowy w zakresie jakikolwiek elementu składającego się na przedmiot umowy – w wysokości 0,01% </w:t>
      </w:r>
      <w:r w:rsidRPr="006E7307">
        <w:rPr>
          <w:rFonts w:ascii="GE Inspira" w:eastAsia="Calibri" w:hAnsi="GE Inspira" w:cs="Arial"/>
          <w:b/>
          <w:i/>
          <w:color w:val="000000"/>
          <w:sz w:val="22"/>
          <w:szCs w:val="22"/>
          <w:lang w:eastAsia="en-US"/>
        </w:rPr>
        <w:t>wynagrodzenia dotyczącego danego elementu składającego się na przedmiot umowy</w:t>
      </w:r>
      <w:r w:rsidRPr="006E7307">
        <w:rPr>
          <w:rFonts w:ascii="GE Inspira" w:eastAsia="Calibri" w:hAnsi="GE Inspira" w:cs="Arial"/>
          <w:i/>
          <w:color w:val="000000"/>
          <w:sz w:val="22"/>
          <w:szCs w:val="22"/>
          <w:lang w:eastAsia="en-US"/>
        </w:rPr>
        <w:t xml:space="preserve"> za każdy dzień opóźnienia w stosunku do terminu ustalonego w 14 pkt 1 umowy, </w:t>
      </w:r>
    </w:p>
    <w:p w:rsidR="006E7307" w:rsidRPr="006E7307" w:rsidRDefault="006E7307" w:rsidP="006E7307">
      <w:pPr>
        <w:suppressAutoHyphens w:val="0"/>
        <w:autoSpaceDE w:val="0"/>
        <w:autoSpaceDN w:val="0"/>
        <w:adjustRightInd w:val="0"/>
        <w:ind w:left="720"/>
        <w:jc w:val="both"/>
        <w:rPr>
          <w:rFonts w:ascii="GE Inspira" w:eastAsia="Calibri" w:hAnsi="GE Inspira" w:cs="Arial"/>
          <w:i/>
          <w:color w:val="000000"/>
          <w:sz w:val="22"/>
          <w:szCs w:val="22"/>
          <w:lang w:eastAsia="en-US"/>
        </w:rPr>
      </w:pPr>
      <w:r w:rsidRPr="006E7307">
        <w:rPr>
          <w:rFonts w:ascii="GE Inspira" w:eastAsia="Calibri" w:hAnsi="GE Inspira" w:cs="Arial"/>
          <w:i/>
          <w:color w:val="000000"/>
          <w:sz w:val="22"/>
          <w:szCs w:val="22"/>
          <w:lang w:eastAsia="en-US"/>
        </w:rPr>
        <w:t xml:space="preserve">2) za nieterminowe zrealizowanie szkoleń personelu medycznego lub personelu technicznego – w wysokości 0,01 % </w:t>
      </w:r>
      <w:r w:rsidRPr="006E7307">
        <w:rPr>
          <w:rFonts w:ascii="GE Inspira" w:eastAsia="Calibri" w:hAnsi="GE Inspira" w:cs="Arial"/>
          <w:b/>
          <w:i/>
          <w:color w:val="000000"/>
          <w:sz w:val="22"/>
          <w:szCs w:val="22"/>
          <w:lang w:eastAsia="en-US"/>
        </w:rPr>
        <w:t>wynagrodzenia dotyczącego danego elementu składającego się na przedmiot umowy</w:t>
      </w:r>
      <w:r w:rsidRPr="006E7307">
        <w:rPr>
          <w:rFonts w:ascii="GE Inspira" w:eastAsia="Calibri" w:hAnsi="GE Inspira" w:cs="Arial"/>
          <w:i/>
          <w:color w:val="000000"/>
          <w:sz w:val="22"/>
          <w:szCs w:val="22"/>
          <w:lang w:eastAsia="en-US"/>
        </w:rPr>
        <w:t xml:space="preserve"> za każdy dzień opóźnienia w stosunku do każdego z terminów szkoleń ustalonych zgodnie z § 14 pkt 3 umowy, </w:t>
      </w:r>
    </w:p>
    <w:p w:rsidR="006E7307" w:rsidRPr="006E7307" w:rsidRDefault="006E7307" w:rsidP="006E7307">
      <w:pPr>
        <w:suppressAutoHyphens w:val="0"/>
        <w:autoSpaceDE w:val="0"/>
        <w:autoSpaceDN w:val="0"/>
        <w:adjustRightInd w:val="0"/>
        <w:ind w:left="720"/>
        <w:jc w:val="both"/>
        <w:rPr>
          <w:rFonts w:ascii="GE Inspira" w:eastAsia="Calibri" w:hAnsi="GE Inspira" w:cs="Arial"/>
          <w:i/>
          <w:color w:val="000000"/>
          <w:sz w:val="22"/>
          <w:szCs w:val="22"/>
          <w:lang w:eastAsia="en-US"/>
        </w:rPr>
      </w:pPr>
      <w:r w:rsidRPr="006E7307">
        <w:rPr>
          <w:rFonts w:ascii="GE Inspira" w:eastAsia="Calibri" w:hAnsi="GE Inspira" w:cs="Arial"/>
          <w:i/>
          <w:color w:val="000000"/>
          <w:sz w:val="22"/>
          <w:szCs w:val="22"/>
          <w:lang w:eastAsia="en-US"/>
        </w:rPr>
        <w:lastRenderedPageBreak/>
        <w:t xml:space="preserve">3) za nieterminowe zrealizowanie szkoleń personelu medycznego lub personelu technicznego w okresie zapewnienia stałego wsparcia personelu – w wysokości 0,01 % </w:t>
      </w:r>
      <w:r w:rsidRPr="006E7307">
        <w:rPr>
          <w:rFonts w:ascii="GE Inspira" w:eastAsia="Calibri" w:hAnsi="GE Inspira" w:cs="Arial"/>
          <w:b/>
          <w:i/>
          <w:color w:val="000000"/>
          <w:sz w:val="22"/>
          <w:szCs w:val="22"/>
          <w:lang w:eastAsia="en-US"/>
        </w:rPr>
        <w:t>wynagrodzenia dotyczącego danego elementu składającego się na przedmiot umowy</w:t>
      </w:r>
      <w:r w:rsidRPr="006E7307">
        <w:rPr>
          <w:rFonts w:ascii="GE Inspira" w:eastAsia="Calibri" w:hAnsi="GE Inspira" w:cs="Arial"/>
          <w:i/>
          <w:color w:val="000000"/>
          <w:sz w:val="22"/>
          <w:szCs w:val="22"/>
          <w:lang w:eastAsia="en-US"/>
        </w:rPr>
        <w:t xml:space="preserve"> za każdy dzień opóźnienia w stosunku do każdego z terminów szkoleń ustalonych zgodnie z § 14 ust. 4 umowy, </w:t>
      </w:r>
    </w:p>
    <w:p w:rsidR="006E7307" w:rsidRPr="006E7307" w:rsidRDefault="006E7307" w:rsidP="006E7307">
      <w:pPr>
        <w:suppressAutoHyphens w:val="0"/>
        <w:autoSpaceDE w:val="0"/>
        <w:autoSpaceDN w:val="0"/>
        <w:adjustRightInd w:val="0"/>
        <w:ind w:left="720"/>
        <w:jc w:val="both"/>
        <w:rPr>
          <w:rFonts w:ascii="GE Inspira" w:eastAsia="Calibri" w:hAnsi="GE Inspira" w:cs="Arial"/>
          <w:i/>
          <w:color w:val="000000"/>
          <w:sz w:val="22"/>
          <w:szCs w:val="22"/>
          <w:lang w:eastAsia="en-US"/>
        </w:rPr>
      </w:pPr>
      <w:r w:rsidRPr="006E7307">
        <w:rPr>
          <w:rFonts w:ascii="GE Inspira" w:eastAsia="Calibri" w:hAnsi="GE Inspira" w:cs="Arial"/>
          <w:i/>
          <w:color w:val="000000"/>
          <w:sz w:val="22"/>
          <w:szCs w:val="22"/>
          <w:lang w:eastAsia="en-US"/>
        </w:rPr>
        <w:t xml:space="preserve">4) za opóźnienie w usunięciu wad stwierdzonych podczas odbioru Przedmiotu umowy – w wysokości 0,01 % </w:t>
      </w:r>
      <w:r w:rsidRPr="006E7307">
        <w:rPr>
          <w:rFonts w:ascii="GE Inspira" w:eastAsia="Calibri" w:hAnsi="GE Inspira" w:cs="Arial"/>
          <w:b/>
          <w:i/>
          <w:color w:val="000000"/>
          <w:sz w:val="22"/>
          <w:szCs w:val="22"/>
          <w:lang w:eastAsia="en-US"/>
        </w:rPr>
        <w:t>wynagrodzenia dotyczącego danego elementu składającego się na przedmiot umowy</w:t>
      </w:r>
      <w:r w:rsidRPr="006E7307">
        <w:rPr>
          <w:rFonts w:ascii="GE Inspira" w:eastAsia="Calibri" w:hAnsi="GE Inspira" w:cs="Arial"/>
          <w:i/>
          <w:color w:val="000000"/>
          <w:sz w:val="22"/>
          <w:szCs w:val="22"/>
          <w:lang w:eastAsia="en-US"/>
        </w:rPr>
        <w:t xml:space="preserve"> za każdy dzień opóźnienia w stosunku do terminu ustalonego w § 6 ust. 7 i § 8 ust. 9 umowy, </w:t>
      </w:r>
    </w:p>
    <w:p w:rsidR="006E7307" w:rsidRPr="006E7307" w:rsidRDefault="006E7307" w:rsidP="006E7307">
      <w:pPr>
        <w:suppressAutoHyphens w:val="0"/>
        <w:autoSpaceDE w:val="0"/>
        <w:autoSpaceDN w:val="0"/>
        <w:adjustRightInd w:val="0"/>
        <w:ind w:left="720"/>
        <w:jc w:val="both"/>
        <w:rPr>
          <w:rFonts w:ascii="GE Inspira" w:eastAsia="Calibri" w:hAnsi="GE Inspira" w:cs="Arial"/>
          <w:i/>
          <w:color w:val="000000"/>
          <w:sz w:val="22"/>
          <w:szCs w:val="22"/>
          <w:lang w:eastAsia="en-US"/>
        </w:rPr>
      </w:pPr>
      <w:r w:rsidRPr="006E7307">
        <w:rPr>
          <w:rFonts w:ascii="GE Inspira" w:eastAsia="Calibri" w:hAnsi="GE Inspira" w:cs="Arial"/>
          <w:i/>
          <w:color w:val="000000"/>
          <w:sz w:val="22"/>
          <w:szCs w:val="22"/>
          <w:lang w:eastAsia="en-US"/>
        </w:rPr>
        <w:t xml:space="preserve">5) za opóźnienie w usunięciu wad stwierdzonych lub ujawnionych w okresie gwarancji  jakości </w:t>
      </w:r>
    </w:p>
    <w:p w:rsidR="006E7307" w:rsidRPr="006E7307" w:rsidRDefault="006E7307" w:rsidP="006E7307">
      <w:pPr>
        <w:suppressAutoHyphens w:val="0"/>
        <w:autoSpaceDE w:val="0"/>
        <w:autoSpaceDN w:val="0"/>
        <w:adjustRightInd w:val="0"/>
        <w:ind w:left="720"/>
        <w:jc w:val="both"/>
        <w:rPr>
          <w:rFonts w:ascii="GE Inspira" w:eastAsia="Calibri" w:hAnsi="GE Inspira" w:cs="Arial"/>
          <w:i/>
          <w:color w:val="000000"/>
          <w:sz w:val="22"/>
          <w:szCs w:val="22"/>
          <w:lang w:eastAsia="en-US"/>
        </w:rPr>
      </w:pPr>
      <w:r w:rsidRPr="006E7307">
        <w:rPr>
          <w:rFonts w:ascii="GE Inspira" w:eastAsia="Calibri" w:hAnsi="GE Inspira" w:cs="Arial"/>
          <w:i/>
          <w:color w:val="000000"/>
          <w:sz w:val="22"/>
          <w:szCs w:val="22"/>
          <w:lang w:eastAsia="en-US"/>
        </w:rPr>
        <w:t xml:space="preserve">a) w wysokości 0,01 % </w:t>
      </w:r>
      <w:r w:rsidRPr="006E7307">
        <w:rPr>
          <w:rFonts w:ascii="GE Inspira" w:eastAsia="Calibri" w:hAnsi="GE Inspira" w:cs="Arial"/>
          <w:b/>
          <w:i/>
          <w:color w:val="000000"/>
          <w:sz w:val="22"/>
          <w:szCs w:val="22"/>
          <w:lang w:eastAsia="en-US"/>
        </w:rPr>
        <w:t xml:space="preserve">wynagrodzenia dotyczącego danego elementu składającego się na przedmiot umowy </w:t>
      </w:r>
      <w:r w:rsidRPr="006E7307">
        <w:rPr>
          <w:rFonts w:ascii="GE Inspira" w:eastAsia="Calibri" w:hAnsi="GE Inspira" w:cs="Arial"/>
          <w:i/>
          <w:color w:val="000000"/>
          <w:sz w:val="22"/>
          <w:szCs w:val="22"/>
          <w:lang w:eastAsia="en-US"/>
        </w:rPr>
        <w:t xml:space="preserve">za każdy dzień opóźnienia w stosunku do terminów ustalonych w § 16 ust. 7 i ust. 9 umowy, </w:t>
      </w:r>
    </w:p>
    <w:p w:rsidR="006E7307" w:rsidRPr="006E7307" w:rsidRDefault="006E7307" w:rsidP="006E7307">
      <w:pPr>
        <w:suppressAutoHyphens w:val="0"/>
        <w:autoSpaceDE w:val="0"/>
        <w:autoSpaceDN w:val="0"/>
        <w:adjustRightInd w:val="0"/>
        <w:spacing w:after="77"/>
        <w:ind w:left="720"/>
        <w:jc w:val="both"/>
        <w:rPr>
          <w:rFonts w:ascii="GE Inspira" w:eastAsia="Calibri" w:hAnsi="GE Inspira" w:cs="Arial"/>
          <w:i/>
          <w:color w:val="000000"/>
          <w:sz w:val="22"/>
          <w:szCs w:val="22"/>
          <w:lang w:eastAsia="en-US"/>
        </w:rPr>
      </w:pPr>
      <w:r w:rsidRPr="006E7307">
        <w:rPr>
          <w:rFonts w:ascii="GE Inspira" w:eastAsia="Calibri" w:hAnsi="GE Inspira" w:cs="Arial"/>
          <w:i/>
          <w:color w:val="000000"/>
          <w:sz w:val="22"/>
          <w:szCs w:val="22"/>
          <w:lang w:eastAsia="en-US"/>
        </w:rPr>
        <w:t xml:space="preserve">6) za odstąpienie przez Zamawiającego od umowy z przyczyn leżących po stronie Wykonawcy lub za odstąpienie Wykonawcy od umowy z przyczyn nie leżących po stronie Zamawiającego – w wysokości 10 % wynagrodzenia ryczałtowego netto ustalonego w § 15 ust. 1 umowy. </w:t>
      </w:r>
    </w:p>
    <w:p w:rsidR="006E7307" w:rsidRPr="006E7307" w:rsidRDefault="006E7307" w:rsidP="006E7307">
      <w:pPr>
        <w:suppressAutoHyphens w:val="0"/>
        <w:jc w:val="both"/>
        <w:rPr>
          <w:rFonts w:ascii="GE Inspira" w:eastAsia="Times" w:hAnsi="GE Inspira"/>
          <w:kern w:val="8"/>
          <w:sz w:val="22"/>
          <w:szCs w:val="22"/>
          <w:lang w:eastAsia="pl-PL"/>
        </w:rPr>
      </w:pPr>
    </w:p>
    <w:p w:rsidR="006E7307" w:rsidRPr="006E7307" w:rsidRDefault="006E7307" w:rsidP="006E7307">
      <w:pPr>
        <w:numPr>
          <w:ilvl w:val="0"/>
          <w:numId w:val="27"/>
        </w:numPr>
        <w:suppressAutoHyphens w:val="0"/>
        <w:spacing w:line="280" w:lineRule="exact"/>
        <w:jc w:val="both"/>
        <w:rPr>
          <w:rFonts w:ascii="GE Inspira" w:eastAsia="Times" w:hAnsi="GE Inspira"/>
          <w:kern w:val="8"/>
          <w:sz w:val="22"/>
          <w:szCs w:val="22"/>
          <w:lang w:eastAsia="pl-PL"/>
        </w:rPr>
      </w:pPr>
      <w:r w:rsidRPr="006E7307">
        <w:rPr>
          <w:rFonts w:ascii="GE Inspira" w:eastAsia="Times" w:hAnsi="GE Inspira"/>
          <w:b/>
          <w:kern w:val="8"/>
          <w:sz w:val="22"/>
          <w:szCs w:val="22"/>
          <w:lang w:eastAsia="pl-PL"/>
        </w:rPr>
        <w:t>Dotyczy Załącznika nr 1.1. „Warunki gwarancji i serwisu” pkt. 5</w:t>
      </w:r>
      <w:r w:rsidRPr="006E7307">
        <w:rPr>
          <w:rFonts w:ascii="GE Inspira" w:eastAsia="Times" w:hAnsi="GE Inspira"/>
          <w:kern w:val="8"/>
          <w:sz w:val="22"/>
          <w:szCs w:val="22"/>
          <w:lang w:eastAsia="pl-PL"/>
        </w:rPr>
        <w:t xml:space="preserve">: Czy Zamawiający wyrazi zgodę, aby czas rozpoczęcia zdalnej diagnostyki za pomocą łącza internetowego wynosił do 2 godzin od </w:t>
      </w:r>
      <w:proofErr w:type="spellStart"/>
      <w:r w:rsidRPr="006E7307">
        <w:rPr>
          <w:rFonts w:ascii="GE Inspira" w:eastAsia="Times" w:hAnsi="GE Inspira"/>
          <w:kern w:val="8"/>
          <w:sz w:val="22"/>
          <w:szCs w:val="22"/>
          <w:lang w:eastAsia="pl-PL"/>
        </w:rPr>
        <w:t>zgłsozenia</w:t>
      </w:r>
      <w:proofErr w:type="spellEnd"/>
      <w:r w:rsidRPr="006E7307">
        <w:rPr>
          <w:rFonts w:ascii="GE Inspira" w:eastAsia="Times" w:hAnsi="GE Inspira"/>
          <w:kern w:val="8"/>
          <w:sz w:val="22"/>
          <w:szCs w:val="22"/>
          <w:lang w:eastAsia="pl-PL"/>
        </w:rPr>
        <w:t xml:space="preserve"> usterki w godzinach pracy serwisu?</w:t>
      </w:r>
    </w:p>
    <w:p w:rsidR="006E7307" w:rsidRPr="006E7307" w:rsidRDefault="006E7307" w:rsidP="006E7307">
      <w:pPr>
        <w:suppressAutoHyphens w:val="0"/>
        <w:spacing w:after="200" w:line="276" w:lineRule="auto"/>
        <w:ind w:left="720"/>
        <w:contextualSpacing/>
        <w:rPr>
          <w:rFonts w:ascii="Calibri" w:eastAsia="Calibri" w:hAnsi="Calibri"/>
          <w:sz w:val="22"/>
          <w:szCs w:val="22"/>
          <w:lang w:eastAsia="pl-PL"/>
        </w:rPr>
      </w:pPr>
    </w:p>
    <w:p w:rsidR="006E7307" w:rsidRPr="006E7307" w:rsidRDefault="006E7307" w:rsidP="006E7307">
      <w:pPr>
        <w:numPr>
          <w:ilvl w:val="0"/>
          <w:numId w:val="27"/>
        </w:numPr>
        <w:suppressAutoHyphens w:val="0"/>
        <w:spacing w:line="280" w:lineRule="exact"/>
        <w:jc w:val="both"/>
        <w:rPr>
          <w:rFonts w:ascii="GE Inspira" w:eastAsia="Times" w:hAnsi="GE Inspira"/>
          <w:kern w:val="8"/>
          <w:sz w:val="22"/>
          <w:szCs w:val="22"/>
          <w:lang w:eastAsia="pl-PL"/>
        </w:rPr>
      </w:pPr>
      <w:r w:rsidRPr="006E7307">
        <w:rPr>
          <w:rFonts w:ascii="GE Inspira" w:eastAsia="Times" w:hAnsi="GE Inspira"/>
          <w:b/>
          <w:kern w:val="8"/>
          <w:sz w:val="22"/>
          <w:szCs w:val="22"/>
          <w:lang w:eastAsia="pl-PL"/>
        </w:rPr>
        <w:t xml:space="preserve">Dotyczy Załącznika nr 1.1. „Warunki gwarancji i serwisu” pkt. 6: </w:t>
      </w:r>
      <w:r w:rsidRPr="006E7307">
        <w:rPr>
          <w:rFonts w:ascii="GE Inspira" w:eastAsia="Times" w:hAnsi="GE Inspira"/>
          <w:kern w:val="8"/>
          <w:sz w:val="22"/>
          <w:szCs w:val="22"/>
          <w:lang w:eastAsia="pl-PL"/>
        </w:rPr>
        <w:t>Czy Zamawiający wyrazi zgodę, aby informacja zwrotna z planem działania rozwiązania problemu przekazana została w ciągu 6 godzin od zgłoszenia usterki w godzinach pracy serwisu?</w:t>
      </w:r>
    </w:p>
    <w:p w:rsidR="006E7307" w:rsidRPr="006E7307" w:rsidRDefault="006E7307" w:rsidP="006E7307">
      <w:pPr>
        <w:suppressAutoHyphens w:val="0"/>
        <w:spacing w:after="200" w:line="276" w:lineRule="auto"/>
        <w:ind w:left="720"/>
        <w:contextualSpacing/>
        <w:rPr>
          <w:rFonts w:ascii="Calibri" w:eastAsia="Calibri" w:hAnsi="Calibri"/>
          <w:sz w:val="22"/>
          <w:szCs w:val="22"/>
          <w:lang w:eastAsia="pl-PL"/>
        </w:rPr>
      </w:pPr>
    </w:p>
    <w:p w:rsidR="006E7307" w:rsidRPr="006E7307" w:rsidRDefault="006E7307" w:rsidP="006E7307">
      <w:pPr>
        <w:numPr>
          <w:ilvl w:val="0"/>
          <w:numId w:val="27"/>
        </w:numPr>
        <w:suppressAutoHyphens w:val="0"/>
        <w:spacing w:line="280" w:lineRule="exact"/>
        <w:jc w:val="both"/>
        <w:rPr>
          <w:rFonts w:ascii="GE Inspira" w:eastAsia="Times" w:hAnsi="GE Inspira"/>
          <w:kern w:val="8"/>
          <w:sz w:val="22"/>
          <w:szCs w:val="22"/>
          <w:lang w:eastAsia="pl-PL"/>
        </w:rPr>
      </w:pPr>
      <w:r w:rsidRPr="006E7307">
        <w:rPr>
          <w:rFonts w:ascii="GE Inspira" w:eastAsia="Times" w:hAnsi="GE Inspira"/>
          <w:b/>
          <w:kern w:val="8"/>
          <w:sz w:val="22"/>
          <w:szCs w:val="22"/>
          <w:lang w:eastAsia="pl-PL"/>
        </w:rPr>
        <w:t xml:space="preserve">Dotyczy Załącznika nr 1.1. „Warunki gwarancji i serwisu” pkt. 7: </w:t>
      </w:r>
      <w:r w:rsidRPr="006E7307">
        <w:rPr>
          <w:rFonts w:ascii="GE Inspira" w:eastAsia="Times" w:hAnsi="GE Inspira"/>
          <w:kern w:val="8"/>
          <w:sz w:val="22"/>
          <w:szCs w:val="22"/>
          <w:lang w:eastAsia="pl-PL"/>
        </w:rPr>
        <w:t>Prosimy o ujednolicenie zapisu dotyczącego gwarantowanego czasu rozpoczęcia naprawy zgodnie ze wzorem umowy par. 15 ust. 5, czyli do 24 godzin od przyjęcia zgłoszenia naprawy w godzinach pracy serwisu.</w:t>
      </w:r>
    </w:p>
    <w:p w:rsidR="006E7307" w:rsidRPr="006E7307" w:rsidRDefault="006E7307" w:rsidP="006E7307">
      <w:pPr>
        <w:suppressAutoHyphens w:val="0"/>
        <w:jc w:val="both"/>
        <w:rPr>
          <w:rFonts w:ascii="GE Inspira" w:eastAsia="Times" w:hAnsi="GE Inspira"/>
          <w:kern w:val="8"/>
          <w:sz w:val="22"/>
          <w:szCs w:val="22"/>
          <w:lang w:eastAsia="pl-PL"/>
        </w:rPr>
      </w:pPr>
    </w:p>
    <w:p w:rsidR="006E7307" w:rsidRPr="006E7307" w:rsidRDefault="006E7307" w:rsidP="006E7307">
      <w:pPr>
        <w:numPr>
          <w:ilvl w:val="0"/>
          <w:numId w:val="27"/>
        </w:numPr>
        <w:suppressAutoHyphens w:val="0"/>
        <w:spacing w:line="280" w:lineRule="exact"/>
        <w:jc w:val="both"/>
        <w:rPr>
          <w:rFonts w:ascii="GE Inspira" w:eastAsia="Times" w:hAnsi="GE Inspira"/>
          <w:kern w:val="8"/>
          <w:sz w:val="22"/>
          <w:szCs w:val="22"/>
          <w:lang w:eastAsia="pl-PL"/>
        </w:rPr>
      </w:pPr>
      <w:r w:rsidRPr="006E7307">
        <w:rPr>
          <w:rFonts w:ascii="GE Inspira" w:eastAsia="Times" w:hAnsi="GE Inspira"/>
          <w:b/>
          <w:kern w:val="8"/>
          <w:sz w:val="22"/>
          <w:szCs w:val="22"/>
          <w:lang w:eastAsia="pl-PL"/>
        </w:rPr>
        <w:t xml:space="preserve">Dotyczy Załącznika nr 1.1. „Warunki gwarancji i serwisu” pkt. 8: </w:t>
      </w:r>
      <w:r w:rsidRPr="006E7307">
        <w:rPr>
          <w:rFonts w:ascii="GE Inspira" w:eastAsia="Times" w:hAnsi="GE Inspira"/>
          <w:kern w:val="8"/>
          <w:sz w:val="22"/>
          <w:szCs w:val="22"/>
          <w:lang w:eastAsia="pl-PL"/>
        </w:rPr>
        <w:t>Prosimy o ujednolicenie zapisu dotyczącego gwarantowanego czasu usunięcia awarii zgodnie ze wzorem umowy par. 15 ust. 7, czyli do 120 godzin lub 168 godzin w dni robocze (w przypadku konieczności sprowadzenia części zamiennych spoza UE).</w:t>
      </w:r>
    </w:p>
    <w:p w:rsidR="006E7307" w:rsidRPr="006E7307" w:rsidRDefault="006E7307" w:rsidP="006E7307">
      <w:pPr>
        <w:suppressAutoHyphens w:val="0"/>
        <w:spacing w:after="200" w:line="276" w:lineRule="auto"/>
        <w:ind w:left="720"/>
        <w:contextualSpacing/>
        <w:rPr>
          <w:rFonts w:ascii="Calibri" w:eastAsia="Calibri" w:hAnsi="Calibri"/>
          <w:sz w:val="22"/>
          <w:szCs w:val="22"/>
          <w:lang w:eastAsia="pl-PL"/>
        </w:rPr>
      </w:pPr>
    </w:p>
    <w:p w:rsidR="006E7307" w:rsidRPr="006E7307" w:rsidRDefault="006E7307" w:rsidP="006E7307">
      <w:pPr>
        <w:numPr>
          <w:ilvl w:val="0"/>
          <w:numId w:val="27"/>
        </w:numPr>
        <w:suppressAutoHyphens w:val="0"/>
        <w:spacing w:line="280" w:lineRule="exact"/>
        <w:jc w:val="both"/>
        <w:rPr>
          <w:rFonts w:ascii="GE Inspira" w:eastAsia="Times" w:hAnsi="GE Inspira"/>
          <w:kern w:val="8"/>
          <w:sz w:val="22"/>
          <w:szCs w:val="22"/>
          <w:lang w:eastAsia="pl-PL"/>
        </w:rPr>
      </w:pPr>
      <w:r w:rsidRPr="006E7307">
        <w:rPr>
          <w:rFonts w:ascii="GE Inspira" w:eastAsia="Times" w:hAnsi="GE Inspira"/>
          <w:kern w:val="8"/>
          <w:sz w:val="22"/>
          <w:szCs w:val="22"/>
          <w:lang w:eastAsia="pl-PL"/>
        </w:rPr>
        <w:t xml:space="preserve"> </w:t>
      </w:r>
      <w:r w:rsidRPr="006E7307">
        <w:rPr>
          <w:rFonts w:ascii="GE Inspira" w:eastAsia="Times" w:hAnsi="GE Inspira"/>
          <w:b/>
          <w:kern w:val="8"/>
          <w:sz w:val="22"/>
          <w:szCs w:val="22"/>
          <w:lang w:eastAsia="pl-PL"/>
        </w:rPr>
        <w:t xml:space="preserve">Dotyczy Załącznika nr 1.1. „Warunki gwarancji i serwisu” pkt. 9: </w:t>
      </w:r>
      <w:r w:rsidRPr="006E7307">
        <w:rPr>
          <w:rFonts w:ascii="GE Inspira" w:eastAsia="Times" w:hAnsi="GE Inspira"/>
          <w:kern w:val="8"/>
          <w:sz w:val="22"/>
          <w:szCs w:val="22"/>
          <w:lang w:eastAsia="pl-PL"/>
        </w:rPr>
        <w:t>Czy wymagany w tym punkcie sumaryczny czas niesprawności aparatu (max. 20 dni roboczych) dotyczy okresu 12 miesięcy obowiązywania gwarancji?</w:t>
      </w:r>
    </w:p>
    <w:p w:rsidR="006E7307" w:rsidRPr="006E7307" w:rsidRDefault="006E7307" w:rsidP="006E7307">
      <w:pPr>
        <w:suppressAutoHyphens w:val="0"/>
        <w:jc w:val="both"/>
        <w:rPr>
          <w:rFonts w:ascii="GE Inspira" w:eastAsia="Times" w:hAnsi="GE Inspira"/>
          <w:kern w:val="8"/>
          <w:sz w:val="22"/>
          <w:szCs w:val="22"/>
          <w:lang w:eastAsia="pl-PL"/>
        </w:rPr>
      </w:pPr>
    </w:p>
    <w:p w:rsidR="006E7307" w:rsidRPr="006E7307" w:rsidRDefault="006E7307" w:rsidP="006E7307">
      <w:pPr>
        <w:numPr>
          <w:ilvl w:val="0"/>
          <w:numId w:val="27"/>
        </w:numPr>
        <w:suppressAutoHyphens w:val="0"/>
        <w:spacing w:line="280" w:lineRule="exact"/>
        <w:jc w:val="both"/>
        <w:rPr>
          <w:rFonts w:ascii="Calibri" w:hAnsi="Calibri"/>
          <w:sz w:val="22"/>
          <w:szCs w:val="22"/>
          <w:lang w:eastAsia="pl-PL"/>
        </w:rPr>
      </w:pPr>
      <w:r w:rsidRPr="006E7307">
        <w:rPr>
          <w:rFonts w:ascii="GE Inspira" w:hAnsi="GE Inspira"/>
          <w:kern w:val="8"/>
          <w:sz w:val="22"/>
          <w:szCs w:val="22"/>
          <w:lang w:eastAsia="en-US"/>
        </w:rPr>
        <w:t>Prosimy o potwierdzenie, że Zamawiający posiada pełnię praw autorskich majątkowych w nieograniczonym zakresie do dokumentacji SSO oraz udostępni tę dokumentację celem jej uzupełnienia przez Wykonawcę o zakres prac instalacyjnych oraz wykończeniowych koniecznych do spełnienia wymagań dostarczanego sprzętu medycznego.</w:t>
      </w:r>
    </w:p>
    <w:p w:rsidR="006E7307" w:rsidRPr="006E7307" w:rsidRDefault="006E7307" w:rsidP="006E7307">
      <w:pPr>
        <w:suppressAutoHyphens w:val="0"/>
        <w:spacing w:line="280" w:lineRule="exact"/>
        <w:ind w:left="720"/>
        <w:jc w:val="both"/>
        <w:rPr>
          <w:rFonts w:ascii="GE Inspira" w:eastAsia="Calibri" w:hAnsi="GE Inspira"/>
          <w:kern w:val="8"/>
          <w:sz w:val="22"/>
          <w:szCs w:val="22"/>
          <w:lang w:eastAsia="en-US"/>
        </w:rPr>
      </w:pPr>
    </w:p>
    <w:p w:rsidR="006E7307" w:rsidRPr="006E7307" w:rsidRDefault="006E7307" w:rsidP="006E7307">
      <w:pPr>
        <w:numPr>
          <w:ilvl w:val="0"/>
          <w:numId w:val="27"/>
        </w:numPr>
        <w:suppressAutoHyphens w:val="0"/>
        <w:spacing w:line="280" w:lineRule="exact"/>
        <w:jc w:val="both"/>
        <w:rPr>
          <w:rFonts w:ascii="GE Inspira" w:hAnsi="GE Inspira"/>
          <w:kern w:val="8"/>
          <w:sz w:val="22"/>
          <w:szCs w:val="22"/>
          <w:lang w:eastAsia="en-US"/>
        </w:rPr>
      </w:pPr>
      <w:r w:rsidRPr="006E7307">
        <w:rPr>
          <w:rFonts w:ascii="GE Inspira" w:hAnsi="GE Inspira"/>
          <w:kern w:val="8"/>
          <w:sz w:val="22"/>
          <w:szCs w:val="22"/>
          <w:lang w:eastAsia="en-US"/>
        </w:rPr>
        <w:t xml:space="preserve">Prosimy o potwierdzenie, że w przypadku gdy  Wykonawca  sporządzi dokumentację techniczną wykonawczą zgodnie z wymogami opisanymi we Wzorze Umowy (Załącznik nr 9 do SIWZ, § 5) oraz aktualnymi przepisami budowlanymi, Zamawiający nie będzie wymagał dodatkowych uzgodnień z Głównym Projektantem SSO. </w:t>
      </w:r>
    </w:p>
    <w:p w:rsidR="006E7307" w:rsidRPr="006E7307" w:rsidRDefault="006E7307" w:rsidP="006E7307">
      <w:pPr>
        <w:suppressAutoHyphens w:val="0"/>
        <w:jc w:val="both"/>
        <w:rPr>
          <w:rFonts w:ascii="GE Inspira" w:hAnsi="GE Inspira"/>
          <w:kern w:val="8"/>
          <w:sz w:val="22"/>
          <w:szCs w:val="22"/>
          <w:lang w:eastAsia="en-US"/>
        </w:rPr>
      </w:pPr>
    </w:p>
    <w:p w:rsidR="006E7307" w:rsidRPr="006E7307" w:rsidRDefault="006E7307" w:rsidP="006E7307">
      <w:pPr>
        <w:numPr>
          <w:ilvl w:val="0"/>
          <w:numId w:val="27"/>
        </w:numPr>
        <w:suppressAutoHyphens w:val="0"/>
        <w:spacing w:line="280" w:lineRule="exact"/>
        <w:jc w:val="both"/>
        <w:rPr>
          <w:rFonts w:ascii="GE Inspira" w:hAnsi="GE Inspira"/>
          <w:kern w:val="8"/>
          <w:sz w:val="22"/>
          <w:szCs w:val="22"/>
          <w:lang w:eastAsia="en-US"/>
        </w:rPr>
      </w:pPr>
      <w:r w:rsidRPr="006E7307">
        <w:rPr>
          <w:rFonts w:ascii="GE Inspira" w:hAnsi="GE Inspira"/>
          <w:kern w:val="8"/>
          <w:sz w:val="22"/>
          <w:szCs w:val="22"/>
          <w:lang w:eastAsia="en-US"/>
        </w:rPr>
        <w:t>Prosimy o wydłużenie czasu przygotowania projektów wykonawczych adaptacji pomieszczeń do 4 tygodni w przypadku pracowni rezonansu magnetycznego oraz 8 tygodni w przypadku aparatów CT oraz PET-CT ze względu na konieczność ich zatwierdzenia w WSSE oraz PAA. Wykonawca nie ma wpływu na termin wydania decyzji przez właściwe organy administracji publicznej.</w:t>
      </w:r>
    </w:p>
    <w:p w:rsidR="006E7307" w:rsidRPr="006E7307" w:rsidRDefault="006E7307" w:rsidP="006E7307">
      <w:pPr>
        <w:suppressAutoHyphens w:val="0"/>
        <w:spacing w:line="280" w:lineRule="exact"/>
        <w:jc w:val="both"/>
        <w:rPr>
          <w:rFonts w:ascii="GE Inspira" w:eastAsia="Times" w:hAnsi="GE Inspira"/>
          <w:kern w:val="8"/>
          <w:sz w:val="22"/>
          <w:szCs w:val="22"/>
          <w:lang w:eastAsia="en-US"/>
        </w:rPr>
      </w:pPr>
    </w:p>
    <w:p w:rsidR="006E7307" w:rsidRPr="006E7307" w:rsidRDefault="006E7307" w:rsidP="006E7307">
      <w:pPr>
        <w:numPr>
          <w:ilvl w:val="0"/>
          <w:numId w:val="27"/>
        </w:numPr>
        <w:suppressAutoHyphens w:val="0"/>
        <w:spacing w:line="280" w:lineRule="exact"/>
        <w:jc w:val="both"/>
        <w:rPr>
          <w:rFonts w:ascii="GE Inspira" w:hAnsi="GE Inspira"/>
          <w:kern w:val="8"/>
          <w:sz w:val="22"/>
          <w:szCs w:val="22"/>
          <w:lang w:eastAsia="en-US"/>
        </w:rPr>
      </w:pPr>
      <w:r w:rsidRPr="006E7307">
        <w:rPr>
          <w:rFonts w:ascii="GE Inspira" w:hAnsi="GE Inspira"/>
          <w:kern w:val="8"/>
          <w:sz w:val="22"/>
          <w:szCs w:val="22"/>
          <w:lang w:eastAsia="en-US"/>
        </w:rPr>
        <w:t xml:space="preserve">Prosimy o potwierdzenie, że Zamawiający zleci odrębnemu podmiotowi całość prac instalacyjnych i wykończeniowych zawartych w dokumentacji technicznej sporządzonej przez Wykonawcę, włącznie z </w:t>
      </w:r>
      <w:r w:rsidRPr="006E7307">
        <w:rPr>
          <w:rFonts w:ascii="GE Inspira" w:hAnsi="GE Inspira"/>
          <w:kern w:val="8"/>
          <w:sz w:val="22"/>
          <w:szCs w:val="22"/>
          <w:lang w:eastAsia="en-US"/>
        </w:rPr>
        <w:lastRenderedPageBreak/>
        <w:t>przygotowaniem drogi transportowej (oraz jej odtworzeniem), rury awaryjnego wyrzutu helu, osłon radiologicznych oraz wszelkich innych prac objętych opracowanym przez Wykonawcę projektem.</w:t>
      </w:r>
    </w:p>
    <w:p w:rsidR="006E7307" w:rsidRPr="006E7307" w:rsidRDefault="006E7307" w:rsidP="006E7307">
      <w:pPr>
        <w:suppressAutoHyphens w:val="0"/>
        <w:ind w:left="720"/>
        <w:jc w:val="both"/>
        <w:rPr>
          <w:rFonts w:ascii="GE Inspira" w:eastAsia="Times" w:hAnsi="GE Inspira"/>
          <w:kern w:val="8"/>
          <w:sz w:val="22"/>
          <w:szCs w:val="22"/>
          <w:lang w:eastAsia="pl-PL"/>
        </w:rPr>
      </w:pPr>
    </w:p>
    <w:p w:rsidR="006E7307" w:rsidRPr="00904907" w:rsidRDefault="00904907" w:rsidP="00622947">
      <w:pPr>
        <w:rPr>
          <w:rFonts w:ascii="Arial" w:hAnsi="Arial" w:cs="Arial"/>
          <w:b/>
          <w:u w:val="single"/>
        </w:rPr>
      </w:pPr>
      <w:r w:rsidRPr="00904907">
        <w:rPr>
          <w:rFonts w:ascii="Arial" w:hAnsi="Arial" w:cs="Arial"/>
          <w:b/>
          <w:u w:val="single"/>
        </w:rPr>
        <w:t>Zapytania nr 18</w:t>
      </w:r>
    </w:p>
    <w:p w:rsidR="00904907" w:rsidRPr="006E7307" w:rsidRDefault="00904907" w:rsidP="00622947">
      <w:pPr>
        <w:rPr>
          <w:rFonts w:ascii="Arial" w:hAnsi="Arial" w:cs="Arial"/>
        </w:rPr>
      </w:pPr>
    </w:p>
    <w:p w:rsidR="00904907" w:rsidRPr="00183715" w:rsidRDefault="00904907" w:rsidP="00904907">
      <w:pPr>
        <w:tabs>
          <w:tab w:val="left" w:pos="4095"/>
        </w:tabs>
        <w:jc w:val="both"/>
        <w:rPr>
          <w:rFonts w:ascii="Arial" w:hAnsi="Arial" w:cs="Arial"/>
          <w:sz w:val="20"/>
        </w:rPr>
      </w:pPr>
    </w:p>
    <w:p w:rsidR="00904907" w:rsidRDefault="00904907" w:rsidP="00904907">
      <w:pPr>
        <w:pStyle w:val="Akapitzlist"/>
        <w:numPr>
          <w:ilvl w:val="0"/>
          <w:numId w:val="28"/>
        </w:numPr>
        <w:spacing w:after="0" w:line="240" w:lineRule="auto"/>
        <w:ind w:left="284" w:hanging="284"/>
        <w:jc w:val="both"/>
        <w:rPr>
          <w:rFonts w:ascii="Arial" w:hAnsi="Arial" w:cs="Arial"/>
          <w:sz w:val="20"/>
        </w:rPr>
      </w:pPr>
      <w:bookmarkStart w:id="11" w:name="_Hlk505195138"/>
      <w:r w:rsidRPr="00183715">
        <w:rPr>
          <w:rFonts w:ascii="Arial" w:hAnsi="Arial" w:cs="Arial"/>
          <w:sz w:val="20"/>
        </w:rPr>
        <w:t xml:space="preserve">Czy </w:t>
      </w:r>
      <w:r w:rsidRPr="00465261">
        <w:rPr>
          <w:rFonts w:ascii="Arial" w:hAnsi="Arial" w:cs="Arial"/>
          <w:sz w:val="20"/>
        </w:rPr>
        <w:t xml:space="preserve">ze względu na </w:t>
      </w:r>
      <w:r>
        <w:rPr>
          <w:rFonts w:ascii="Arial" w:hAnsi="Arial" w:cs="Arial"/>
          <w:sz w:val="20"/>
        </w:rPr>
        <w:t>nieposiadanie przez urządze</w:t>
      </w:r>
      <w:bookmarkEnd w:id="11"/>
      <w:r>
        <w:rPr>
          <w:rFonts w:ascii="Arial" w:hAnsi="Arial" w:cs="Arial"/>
          <w:sz w:val="20"/>
        </w:rPr>
        <w:t xml:space="preserve">nia: </w:t>
      </w:r>
      <w:r w:rsidRPr="00465261">
        <w:rPr>
          <w:rFonts w:ascii="Arial" w:hAnsi="Arial" w:cs="Arial"/>
          <w:i/>
          <w:sz w:val="20"/>
        </w:rPr>
        <w:t>Aparat do znieczuleń z kardiomonitorem</w:t>
      </w:r>
      <w:r>
        <w:rPr>
          <w:rFonts w:ascii="Arial" w:hAnsi="Arial" w:cs="Arial"/>
          <w:sz w:val="20"/>
        </w:rPr>
        <w:t xml:space="preserve"> i </w:t>
      </w:r>
      <w:r w:rsidRPr="00465261">
        <w:rPr>
          <w:rFonts w:ascii="Arial" w:hAnsi="Arial" w:cs="Arial"/>
          <w:i/>
          <w:sz w:val="20"/>
        </w:rPr>
        <w:t>System monitorowania pacjentów w środowisku MRI</w:t>
      </w:r>
      <w:r>
        <w:rPr>
          <w:rFonts w:ascii="Arial" w:hAnsi="Arial" w:cs="Arial"/>
          <w:i/>
          <w:sz w:val="20"/>
        </w:rPr>
        <w:t xml:space="preserve"> </w:t>
      </w:r>
      <w:r>
        <w:rPr>
          <w:rFonts w:ascii="Arial" w:hAnsi="Arial" w:cs="Arial"/>
          <w:sz w:val="20"/>
        </w:rPr>
        <w:t xml:space="preserve">funkcjonalności wymagających </w:t>
      </w:r>
      <w:r w:rsidRPr="00465261">
        <w:rPr>
          <w:rFonts w:ascii="Arial" w:hAnsi="Arial" w:cs="Arial"/>
          <w:sz w:val="20"/>
        </w:rPr>
        <w:t>integr</w:t>
      </w:r>
      <w:r>
        <w:rPr>
          <w:rFonts w:ascii="Arial" w:hAnsi="Arial" w:cs="Arial"/>
          <w:sz w:val="20"/>
        </w:rPr>
        <w:t>acji</w:t>
      </w:r>
      <w:r w:rsidRPr="00465261">
        <w:rPr>
          <w:rFonts w:ascii="Arial" w:hAnsi="Arial" w:cs="Arial"/>
          <w:sz w:val="20"/>
        </w:rPr>
        <w:t xml:space="preserve"> z systemami szpitalnymi</w:t>
      </w:r>
      <w:r>
        <w:rPr>
          <w:rFonts w:ascii="Arial" w:hAnsi="Arial" w:cs="Arial"/>
          <w:sz w:val="20"/>
        </w:rPr>
        <w:t xml:space="preserve"> wymienionymi przez Zamawiającego, </w:t>
      </w:r>
      <w:r w:rsidRPr="00183715">
        <w:rPr>
          <w:rFonts w:ascii="Arial" w:hAnsi="Arial" w:cs="Arial"/>
          <w:sz w:val="20"/>
        </w:rPr>
        <w:t xml:space="preserve">Zamawiający </w:t>
      </w:r>
      <w:r>
        <w:rPr>
          <w:rFonts w:ascii="Arial" w:hAnsi="Arial" w:cs="Arial"/>
          <w:sz w:val="20"/>
        </w:rPr>
        <w:t xml:space="preserve">odstąpi od spełnienia wymogów określonych w wyżej przywołanych punktach </w:t>
      </w:r>
      <w:bookmarkStart w:id="12" w:name="_Hlk505196659"/>
      <w:r>
        <w:rPr>
          <w:rFonts w:ascii="Arial" w:hAnsi="Arial" w:cs="Arial"/>
          <w:sz w:val="20"/>
        </w:rPr>
        <w:t>w stosunku do tych urządzeń</w:t>
      </w:r>
      <w:bookmarkEnd w:id="12"/>
      <w:r>
        <w:rPr>
          <w:rFonts w:ascii="Arial" w:hAnsi="Arial" w:cs="Arial"/>
          <w:sz w:val="20"/>
        </w:rPr>
        <w:t>?</w:t>
      </w:r>
      <w:r w:rsidRPr="00465261">
        <w:rPr>
          <w:rFonts w:ascii="Arial" w:hAnsi="Arial" w:cs="Arial"/>
          <w:sz w:val="20"/>
        </w:rPr>
        <w:t xml:space="preserve"> </w:t>
      </w:r>
    </w:p>
    <w:p w:rsidR="00904907" w:rsidRDefault="00904907" w:rsidP="00904907">
      <w:pPr>
        <w:pStyle w:val="Akapitzlist"/>
        <w:spacing w:line="240" w:lineRule="auto"/>
        <w:ind w:left="284"/>
        <w:jc w:val="both"/>
        <w:rPr>
          <w:rFonts w:ascii="Arial" w:hAnsi="Arial" w:cs="Arial"/>
          <w:sz w:val="20"/>
        </w:rPr>
      </w:pPr>
    </w:p>
    <w:p w:rsidR="00904907" w:rsidRDefault="00904907" w:rsidP="00904907">
      <w:pPr>
        <w:pStyle w:val="Akapitzlist"/>
        <w:spacing w:line="240" w:lineRule="auto"/>
        <w:ind w:left="284"/>
        <w:jc w:val="both"/>
        <w:rPr>
          <w:rFonts w:ascii="Arial" w:hAnsi="Arial" w:cs="Arial"/>
          <w:sz w:val="20"/>
        </w:rPr>
      </w:pPr>
    </w:p>
    <w:p w:rsidR="00904907" w:rsidRPr="00AA0536" w:rsidRDefault="00904907" w:rsidP="00904907">
      <w:pPr>
        <w:jc w:val="both"/>
        <w:rPr>
          <w:rFonts w:ascii="Arial" w:hAnsi="Arial" w:cs="Arial"/>
          <w:sz w:val="20"/>
        </w:rPr>
      </w:pPr>
      <w:r w:rsidRPr="00AA0536">
        <w:rPr>
          <w:rFonts w:ascii="Arial" w:hAnsi="Arial" w:cs="Arial"/>
          <w:sz w:val="20"/>
        </w:rPr>
        <w:t xml:space="preserve">dot.: SIWZ </w:t>
      </w:r>
      <w:r>
        <w:rPr>
          <w:rFonts w:ascii="Arial" w:hAnsi="Arial" w:cs="Arial"/>
          <w:sz w:val="20"/>
        </w:rPr>
        <w:t>–</w:t>
      </w:r>
      <w:r w:rsidRPr="00AA0536">
        <w:rPr>
          <w:rFonts w:ascii="Arial" w:hAnsi="Arial" w:cs="Arial"/>
          <w:sz w:val="20"/>
        </w:rPr>
        <w:t xml:space="preserve"> </w:t>
      </w:r>
      <w:r>
        <w:rPr>
          <w:rFonts w:ascii="Arial" w:hAnsi="Arial" w:cs="Arial"/>
          <w:sz w:val="20"/>
        </w:rPr>
        <w:t>Załącznik nr 1.1 do SIWZ</w:t>
      </w:r>
    </w:p>
    <w:p w:rsidR="00904907" w:rsidRPr="00AA0536" w:rsidRDefault="00904907" w:rsidP="00904907">
      <w:pPr>
        <w:jc w:val="both"/>
        <w:rPr>
          <w:rFonts w:ascii="Arial" w:hAnsi="Arial" w:cs="Arial"/>
          <w:sz w:val="20"/>
        </w:rPr>
      </w:pPr>
      <w:r w:rsidRPr="00AA0536">
        <w:rPr>
          <w:rFonts w:ascii="Arial" w:hAnsi="Arial" w:cs="Arial"/>
          <w:sz w:val="20"/>
        </w:rPr>
        <w:t xml:space="preserve"> </w:t>
      </w:r>
    </w:p>
    <w:p w:rsidR="00904907" w:rsidRPr="0089095D" w:rsidRDefault="00904907" w:rsidP="00904907">
      <w:pPr>
        <w:pStyle w:val="Akapitzlist"/>
        <w:numPr>
          <w:ilvl w:val="0"/>
          <w:numId w:val="28"/>
        </w:numPr>
        <w:spacing w:after="0" w:line="240" w:lineRule="auto"/>
        <w:ind w:left="284" w:hanging="284"/>
        <w:jc w:val="both"/>
        <w:rPr>
          <w:rFonts w:ascii="Arial" w:hAnsi="Arial" w:cs="Arial"/>
          <w:sz w:val="20"/>
        </w:rPr>
      </w:pPr>
      <w:r w:rsidRPr="0089095D">
        <w:rPr>
          <w:rFonts w:ascii="Arial" w:hAnsi="Arial" w:cs="Arial"/>
          <w:sz w:val="20"/>
        </w:rPr>
        <w:t xml:space="preserve">Czy </w:t>
      </w:r>
      <w:r>
        <w:rPr>
          <w:rFonts w:ascii="Arial" w:hAnsi="Arial" w:cs="Arial"/>
          <w:sz w:val="20"/>
        </w:rPr>
        <w:t xml:space="preserve">ze względu na nieposiadanie przez urządzenia: </w:t>
      </w:r>
      <w:r w:rsidRPr="0089095D">
        <w:rPr>
          <w:rFonts w:ascii="Arial" w:hAnsi="Arial" w:cs="Arial"/>
          <w:i/>
          <w:sz w:val="20"/>
        </w:rPr>
        <w:t>Aparat do znieczuleń z kardiomonitorem</w:t>
      </w:r>
      <w:r w:rsidRPr="0089095D">
        <w:rPr>
          <w:rFonts w:ascii="Arial" w:hAnsi="Arial" w:cs="Arial"/>
          <w:sz w:val="20"/>
        </w:rPr>
        <w:t xml:space="preserve"> i </w:t>
      </w:r>
      <w:r w:rsidRPr="0089095D">
        <w:rPr>
          <w:rFonts w:ascii="Arial" w:hAnsi="Arial" w:cs="Arial"/>
          <w:i/>
          <w:sz w:val="20"/>
        </w:rPr>
        <w:t>System monitorowania pacjentów w środowisku MRI</w:t>
      </w:r>
      <w:r w:rsidRPr="0089095D">
        <w:rPr>
          <w:rFonts w:ascii="Arial" w:hAnsi="Arial" w:cs="Arial"/>
          <w:sz w:val="20"/>
        </w:rPr>
        <w:t xml:space="preserve"> </w:t>
      </w:r>
      <w:r>
        <w:rPr>
          <w:rFonts w:ascii="Arial" w:hAnsi="Arial" w:cs="Arial"/>
          <w:sz w:val="20"/>
        </w:rPr>
        <w:t xml:space="preserve">funkcjonalności określonych przez Zamawiającego w </w:t>
      </w:r>
      <w:r w:rsidRPr="0089095D">
        <w:rPr>
          <w:rFonts w:ascii="Arial" w:hAnsi="Arial" w:cs="Arial"/>
          <w:sz w:val="20"/>
        </w:rPr>
        <w:t>pkt. 3</w:t>
      </w:r>
      <w:r>
        <w:rPr>
          <w:rFonts w:ascii="Arial" w:hAnsi="Arial" w:cs="Arial"/>
          <w:sz w:val="20"/>
        </w:rPr>
        <w:t xml:space="preserve"> -  </w:t>
      </w:r>
      <w:r w:rsidRPr="00FB48D3">
        <w:rPr>
          <w:rFonts w:ascii="Arial" w:hAnsi="Arial" w:cs="Arial"/>
          <w:i/>
          <w:sz w:val="20"/>
        </w:rPr>
        <w:t>„Monitorowanie stanu technicznego aparatu 24/7”</w:t>
      </w:r>
      <w:r w:rsidRPr="0089095D">
        <w:rPr>
          <w:rFonts w:ascii="Arial" w:hAnsi="Arial" w:cs="Arial"/>
          <w:sz w:val="20"/>
        </w:rPr>
        <w:t xml:space="preserve"> i </w:t>
      </w:r>
      <w:r>
        <w:rPr>
          <w:rFonts w:ascii="Arial" w:hAnsi="Arial" w:cs="Arial"/>
          <w:sz w:val="20"/>
        </w:rPr>
        <w:t xml:space="preserve">w pkt. </w:t>
      </w:r>
      <w:r w:rsidRPr="0089095D">
        <w:rPr>
          <w:rFonts w:ascii="Arial" w:hAnsi="Arial" w:cs="Arial"/>
          <w:sz w:val="20"/>
        </w:rPr>
        <w:t xml:space="preserve">5 </w:t>
      </w:r>
      <w:r>
        <w:rPr>
          <w:rFonts w:ascii="Arial" w:hAnsi="Arial" w:cs="Arial"/>
          <w:sz w:val="20"/>
        </w:rPr>
        <w:t>– „</w:t>
      </w:r>
      <w:r w:rsidRPr="00FB48D3">
        <w:rPr>
          <w:rFonts w:ascii="Arial" w:hAnsi="Arial" w:cs="Arial"/>
          <w:i/>
          <w:sz w:val="20"/>
        </w:rPr>
        <w:t xml:space="preserve">Czas rozpoczęcia zdalnej diagnostyki za pomocą łącza internetowego </w:t>
      </w:r>
      <w:r>
        <w:rPr>
          <w:rFonts w:ascii="Arial" w:hAnsi="Arial" w:cs="Arial"/>
          <w:i/>
          <w:sz w:val="20"/>
        </w:rPr>
        <w:t>do 1 godziny</w:t>
      </w:r>
      <w:r w:rsidRPr="00FB48D3">
        <w:rPr>
          <w:rFonts w:ascii="Arial" w:hAnsi="Arial" w:cs="Arial"/>
          <w:i/>
          <w:sz w:val="20"/>
        </w:rPr>
        <w:t xml:space="preserve"> od zgłoszenia usterki w godzinach pracy serwisu”,</w:t>
      </w:r>
      <w:r>
        <w:rPr>
          <w:rFonts w:ascii="Arial" w:hAnsi="Arial" w:cs="Arial"/>
          <w:sz w:val="20"/>
        </w:rPr>
        <w:t xml:space="preserve"> </w:t>
      </w:r>
      <w:r w:rsidRPr="0089095D">
        <w:rPr>
          <w:rFonts w:ascii="Arial" w:hAnsi="Arial" w:cs="Arial"/>
          <w:sz w:val="20"/>
        </w:rPr>
        <w:t xml:space="preserve">Zamawiający </w:t>
      </w:r>
      <w:r w:rsidRPr="00FB48D3">
        <w:rPr>
          <w:rFonts w:ascii="Arial" w:hAnsi="Arial" w:cs="Arial"/>
          <w:sz w:val="20"/>
        </w:rPr>
        <w:t xml:space="preserve">odstąpi od </w:t>
      </w:r>
      <w:r w:rsidRPr="0089095D">
        <w:rPr>
          <w:rFonts w:ascii="Arial" w:hAnsi="Arial" w:cs="Arial"/>
          <w:sz w:val="20"/>
        </w:rPr>
        <w:t xml:space="preserve">spełnienia wymogów określonych </w:t>
      </w:r>
      <w:r>
        <w:rPr>
          <w:rFonts w:ascii="Arial" w:hAnsi="Arial" w:cs="Arial"/>
          <w:sz w:val="20"/>
        </w:rPr>
        <w:t>w tych punktach oraz</w:t>
      </w:r>
      <w:r w:rsidRPr="0089095D">
        <w:rPr>
          <w:rFonts w:ascii="Arial" w:hAnsi="Arial" w:cs="Arial"/>
          <w:sz w:val="20"/>
        </w:rPr>
        <w:t xml:space="preserve"> zgodzi się na wykonywanie przeglądów w dni robocze</w:t>
      </w:r>
      <w:r>
        <w:rPr>
          <w:rFonts w:ascii="Arial" w:hAnsi="Arial" w:cs="Arial"/>
          <w:sz w:val="20"/>
        </w:rPr>
        <w:t xml:space="preserve"> </w:t>
      </w:r>
      <w:r w:rsidRPr="0089095D">
        <w:rPr>
          <w:rFonts w:ascii="Arial" w:hAnsi="Arial" w:cs="Arial"/>
          <w:sz w:val="20"/>
        </w:rPr>
        <w:t>od poniedziałku do piątku</w:t>
      </w:r>
      <w:r>
        <w:rPr>
          <w:rFonts w:ascii="Arial" w:hAnsi="Arial" w:cs="Arial"/>
          <w:sz w:val="20"/>
        </w:rPr>
        <w:t xml:space="preserve"> </w:t>
      </w:r>
      <w:r w:rsidRPr="00FB48D3">
        <w:rPr>
          <w:rFonts w:ascii="Arial" w:hAnsi="Arial" w:cs="Arial"/>
          <w:sz w:val="20"/>
        </w:rPr>
        <w:t>w stosunku do tych urządzeń</w:t>
      </w:r>
      <w:r w:rsidRPr="0089095D">
        <w:rPr>
          <w:rFonts w:ascii="Arial" w:hAnsi="Arial" w:cs="Arial"/>
          <w:sz w:val="20"/>
        </w:rPr>
        <w:t xml:space="preserve">? </w:t>
      </w:r>
    </w:p>
    <w:p w:rsidR="00904907" w:rsidRDefault="00904907" w:rsidP="00904907">
      <w:pPr>
        <w:pStyle w:val="Akapitzlist"/>
        <w:spacing w:line="240" w:lineRule="auto"/>
        <w:jc w:val="both"/>
        <w:rPr>
          <w:rFonts w:ascii="Arial" w:hAnsi="Arial" w:cs="Arial"/>
          <w:sz w:val="20"/>
        </w:rPr>
      </w:pPr>
    </w:p>
    <w:p w:rsidR="006E7307" w:rsidRDefault="00904907" w:rsidP="00622947">
      <w:pPr>
        <w:rPr>
          <w:rFonts w:ascii="Arial" w:hAnsi="Arial" w:cs="Arial"/>
          <w:b/>
          <w:u w:val="single"/>
        </w:rPr>
      </w:pPr>
      <w:r>
        <w:rPr>
          <w:rFonts w:ascii="Arial" w:hAnsi="Arial" w:cs="Arial"/>
          <w:b/>
          <w:u w:val="single"/>
        </w:rPr>
        <w:t>Zapytania  nr 19</w:t>
      </w:r>
    </w:p>
    <w:p w:rsidR="00904907" w:rsidRPr="00904907" w:rsidRDefault="00904907" w:rsidP="00904907">
      <w:pPr>
        <w:suppressAutoHyphens w:val="0"/>
        <w:spacing w:line="280" w:lineRule="exact"/>
        <w:jc w:val="both"/>
        <w:rPr>
          <w:rFonts w:ascii="GE Inspira" w:eastAsia="Times" w:hAnsi="GE Inspira"/>
          <w:b/>
          <w:kern w:val="8"/>
          <w:sz w:val="22"/>
          <w:szCs w:val="22"/>
          <w:lang w:eastAsia="en-US"/>
        </w:rPr>
      </w:pPr>
    </w:p>
    <w:p w:rsidR="00904907" w:rsidRPr="00904907" w:rsidRDefault="00904907" w:rsidP="00904907">
      <w:pPr>
        <w:numPr>
          <w:ilvl w:val="0"/>
          <w:numId w:val="30"/>
        </w:numPr>
        <w:suppressAutoHyphens w:val="0"/>
        <w:spacing w:line="280" w:lineRule="exact"/>
        <w:jc w:val="both"/>
        <w:rPr>
          <w:rFonts w:ascii="Calibri" w:eastAsia="Times" w:hAnsi="Calibri"/>
          <w:b/>
          <w:bCs/>
          <w:sz w:val="22"/>
          <w:szCs w:val="22"/>
          <w:lang w:eastAsia="pl-PL"/>
        </w:rPr>
      </w:pPr>
      <w:r w:rsidRPr="00904907">
        <w:rPr>
          <w:rFonts w:ascii="GE Inspira" w:eastAsia="Times" w:hAnsi="GE Inspira"/>
          <w:b/>
          <w:bCs/>
          <w:kern w:val="8"/>
          <w:sz w:val="22"/>
          <w:szCs w:val="22"/>
          <w:lang w:eastAsia="en-US"/>
        </w:rPr>
        <w:t>Dotyczy załącznika nr 1 do SIWZ, zakładka „</w:t>
      </w:r>
      <w:proofErr w:type="spellStart"/>
      <w:r w:rsidRPr="00904907">
        <w:rPr>
          <w:rFonts w:ascii="GE Inspira" w:eastAsia="Times" w:hAnsi="GE Inspira"/>
          <w:b/>
          <w:bCs/>
          <w:kern w:val="8"/>
          <w:sz w:val="22"/>
          <w:szCs w:val="22"/>
          <w:lang w:eastAsia="en-US"/>
        </w:rPr>
        <w:t>Teleradioterapia</w:t>
      </w:r>
      <w:proofErr w:type="spellEnd"/>
      <w:r w:rsidRPr="00904907">
        <w:rPr>
          <w:rFonts w:ascii="GE Inspira" w:eastAsia="Times" w:hAnsi="GE Inspira"/>
          <w:b/>
          <w:bCs/>
          <w:kern w:val="8"/>
          <w:sz w:val="22"/>
          <w:szCs w:val="22"/>
          <w:lang w:eastAsia="en-US"/>
        </w:rPr>
        <w:t>”, pkt 147.1 „</w:t>
      </w:r>
      <w:r w:rsidRPr="00904907">
        <w:rPr>
          <w:rFonts w:ascii="GE Inspira" w:eastAsia="Times" w:hAnsi="GE Inspira"/>
          <w:b/>
          <w:bCs/>
          <w:i/>
          <w:kern w:val="8"/>
          <w:sz w:val="22"/>
          <w:szCs w:val="22"/>
          <w:lang w:eastAsia="en-US"/>
        </w:rPr>
        <w:t xml:space="preserve">Zestawy </w:t>
      </w:r>
      <w:proofErr w:type="spellStart"/>
      <w:r w:rsidRPr="00904907">
        <w:rPr>
          <w:rFonts w:ascii="GE Inspira" w:eastAsia="Times" w:hAnsi="GE Inspira"/>
          <w:b/>
          <w:bCs/>
          <w:i/>
          <w:kern w:val="8"/>
          <w:sz w:val="22"/>
          <w:szCs w:val="22"/>
          <w:lang w:eastAsia="en-US"/>
        </w:rPr>
        <w:t>centratorów</w:t>
      </w:r>
      <w:proofErr w:type="spellEnd"/>
      <w:r w:rsidRPr="00904907">
        <w:rPr>
          <w:rFonts w:ascii="GE Inspira" w:eastAsia="Times" w:hAnsi="GE Inspira"/>
          <w:b/>
          <w:bCs/>
          <w:i/>
          <w:kern w:val="8"/>
          <w:sz w:val="22"/>
          <w:szCs w:val="22"/>
          <w:lang w:eastAsia="en-US"/>
        </w:rPr>
        <w:t xml:space="preserve"> laserowych składające się z minimum trzech ruchomych laserów każdy, każdy z funkcjonalnością wirtualnej symulacji, identyczne ze względów </w:t>
      </w:r>
      <w:proofErr w:type="spellStart"/>
      <w:r w:rsidRPr="00904907">
        <w:rPr>
          <w:rFonts w:ascii="GE Inspira" w:eastAsia="Times" w:hAnsi="GE Inspira"/>
          <w:b/>
          <w:bCs/>
          <w:i/>
          <w:kern w:val="8"/>
          <w:sz w:val="22"/>
          <w:szCs w:val="22"/>
          <w:lang w:eastAsia="en-US"/>
        </w:rPr>
        <w:t>fgunkcjonalnych</w:t>
      </w:r>
      <w:proofErr w:type="spellEnd"/>
      <w:r w:rsidRPr="00904907">
        <w:rPr>
          <w:rFonts w:ascii="GE Inspira" w:eastAsia="Times" w:hAnsi="GE Inspira"/>
          <w:b/>
          <w:bCs/>
          <w:i/>
          <w:kern w:val="8"/>
          <w:sz w:val="22"/>
          <w:szCs w:val="22"/>
          <w:lang w:eastAsia="en-US"/>
        </w:rPr>
        <w:t xml:space="preserve"> jak w Zakładzie </w:t>
      </w:r>
      <w:proofErr w:type="spellStart"/>
      <w:r w:rsidRPr="00904907">
        <w:rPr>
          <w:rFonts w:ascii="GE Inspira" w:eastAsia="Times" w:hAnsi="GE Inspira"/>
          <w:b/>
          <w:bCs/>
          <w:i/>
          <w:kern w:val="8"/>
          <w:sz w:val="22"/>
          <w:szCs w:val="22"/>
          <w:lang w:eastAsia="en-US"/>
        </w:rPr>
        <w:t>Teleradioterapii</w:t>
      </w:r>
      <w:proofErr w:type="spellEnd"/>
      <w:r w:rsidRPr="00904907">
        <w:rPr>
          <w:rFonts w:ascii="GE Inspira" w:eastAsia="Times" w:hAnsi="GE Inspira"/>
          <w:b/>
          <w:bCs/>
          <w:i/>
          <w:kern w:val="8"/>
          <w:sz w:val="22"/>
          <w:szCs w:val="22"/>
          <w:lang w:eastAsia="en-US"/>
        </w:rPr>
        <w:t xml:space="preserve"> Centrum Onkologii - Instytut im. Marii Skłodowskiej-Curie w Warszawie, po jednym zestawie dla każdego z oferowanych aparatów: CT, PET/CT i MR (tylko z jednym z oferowanych akceleratorów)</w:t>
      </w:r>
      <w:r w:rsidRPr="00904907">
        <w:rPr>
          <w:rFonts w:ascii="GE Inspira" w:eastAsia="Times" w:hAnsi="GE Inspira"/>
          <w:b/>
          <w:bCs/>
          <w:kern w:val="8"/>
          <w:sz w:val="22"/>
          <w:szCs w:val="22"/>
          <w:lang w:eastAsia="en-US"/>
        </w:rPr>
        <w:t>”:</w:t>
      </w:r>
    </w:p>
    <w:p w:rsidR="00904907" w:rsidRPr="00904907" w:rsidRDefault="00904907" w:rsidP="00904907">
      <w:pPr>
        <w:suppressAutoHyphens w:val="0"/>
        <w:spacing w:line="280" w:lineRule="exact"/>
        <w:ind w:left="720"/>
        <w:jc w:val="both"/>
        <w:rPr>
          <w:rFonts w:ascii="GE Inspira" w:eastAsia="Times" w:hAnsi="GE Inspira"/>
          <w:kern w:val="8"/>
          <w:sz w:val="22"/>
          <w:szCs w:val="22"/>
          <w:lang w:eastAsia="en-US"/>
        </w:rPr>
      </w:pPr>
      <w:r w:rsidRPr="00904907">
        <w:rPr>
          <w:rFonts w:ascii="GE Inspira" w:eastAsia="Times" w:hAnsi="GE Inspira"/>
          <w:kern w:val="8"/>
          <w:sz w:val="22"/>
          <w:szCs w:val="22"/>
          <w:lang w:eastAsia="en-US"/>
        </w:rPr>
        <w:t>Czy Zamawiaj</w:t>
      </w:r>
      <w:r w:rsidRPr="00904907">
        <w:rPr>
          <w:rFonts w:eastAsia="Times"/>
          <w:kern w:val="8"/>
          <w:sz w:val="22"/>
          <w:szCs w:val="22"/>
          <w:lang w:eastAsia="en-US"/>
        </w:rPr>
        <w:t>ą</w:t>
      </w:r>
      <w:r w:rsidRPr="00904907">
        <w:rPr>
          <w:rFonts w:ascii="GE Inspira" w:eastAsia="Times" w:hAnsi="GE Inspira"/>
          <w:kern w:val="8"/>
          <w:sz w:val="22"/>
          <w:szCs w:val="22"/>
          <w:lang w:eastAsia="en-US"/>
        </w:rPr>
        <w:t xml:space="preserve">cy potwierdza, </w:t>
      </w:r>
      <w:r w:rsidRPr="00904907">
        <w:rPr>
          <w:rFonts w:eastAsia="Times"/>
          <w:kern w:val="8"/>
          <w:sz w:val="22"/>
          <w:szCs w:val="22"/>
          <w:lang w:eastAsia="en-US"/>
        </w:rPr>
        <w:t>ż</w:t>
      </w:r>
      <w:r w:rsidRPr="00904907">
        <w:rPr>
          <w:rFonts w:ascii="GE Inspira" w:eastAsia="Times" w:hAnsi="GE Inspira"/>
          <w:kern w:val="8"/>
          <w:sz w:val="22"/>
          <w:szCs w:val="22"/>
          <w:lang w:eastAsia="en-US"/>
        </w:rPr>
        <w:t xml:space="preserve">e w celu optymalizacji prac instalacyjnych </w:t>
      </w:r>
      <w:proofErr w:type="spellStart"/>
      <w:r w:rsidRPr="00904907">
        <w:rPr>
          <w:rFonts w:ascii="GE Inspira" w:eastAsia="Times" w:hAnsi="GE Inspira"/>
          <w:kern w:val="8"/>
          <w:sz w:val="22"/>
          <w:szCs w:val="22"/>
          <w:lang w:eastAsia="en-US"/>
        </w:rPr>
        <w:t>centrator</w:t>
      </w:r>
      <w:r w:rsidRPr="00904907">
        <w:rPr>
          <w:rFonts w:eastAsia="Times"/>
          <w:kern w:val="8"/>
          <w:sz w:val="22"/>
          <w:szCs w:val="22"/>
          <w:lang w:eastAsia="en-US"/>
        </w:rPr>
        <w:t>ó</w:t>
      </w:r>
      <w:r w:rsidRPr="00904907">
        <w:rPr>
          <w:rFonts w:ascii="GE Inspira" w:eastAsia="Times" w:hAnsi="GE Inspira"/>
          <w:kern w:val="8"/>
          <w:sz w:val="22"/>
          <w:szCs w:val="22"/>
          <w:lang w:eastAsia="en-US"/>
        </w:rPr>
        <w:t>w</w:t>
      </w:r>
      <w:proofErr w:type="spellEnd"/>
      <w:r w:rsidRPr="00904907">
        <w:rPr>
          <w:rFonts w:ascii="GE Inspira" w:eastAsia="Times" w:hAnsi="GE Inspira"/>
          <w:kern w:val="8"/>
          <w:sz w:val="22"/>
          <w:szCs w:val="22"/>
          <w:lang w:eastAsia="en-US"/>
        </w:rPr>
        <w:t xml:space="preserve"> laserowych w pomieszczeniach urządzeń PET/CT, CT i MR przeniesie wym</w:t>
      </w:r>
      <w:r w:rsidRPr="00904907">
        <w:rPr>
          <w:rFonts w:eastAsia="Times"/>
          <w:kern w:val="8"/>
          <w:sz w:val="22"/>
          <w:szCs w:val="22"/>
          <w:lang w:eastAsia="en-US"/>
        </w:rPr>
        <w:t>ó</w:t>
      </w:r>
      <w:r w:rsidRPr="00904907">
        <w:rPr>
          <w:rFonts w:ascii="GE Inspira" w:eastAsia="Times" w:hAnsi="GE Inspira"/>
          <w:kern w:val="8"/>
          <w:sz w:val="22"/>
          <w:szCs w:val="22"/>
          <w:lang w:eastAsia="en-US"/>
        </w:rPr>
        <w:t>g dostawy tych zestawów z opisu zakładki „</w:t>
      </w:r>
      <w:proofErr w:type="spellStart"/>
      <w:r w:rsidRPr="00904907">
        <w:rPr>
          <w:rFonts w:ascii="GE Inspira" w:eastAsia="Times" w:hAnsi="GE Inspira"/>
          <w:kern w:val="8"/>
          <w:sz w:val="22"/>
          <w:szCs w:val="22"/>
          <w:lang w:eastAsia="en-US"/>
        </w:rPr>
        <w:t>Teleradioterapia</w:t>
      </w:r>
      <w:proofErr w:type="spellEnd"/>
      <w:r w:rsidRPr="00904907">
        <w:rPr>
          <w:rFonts w:ascii="GE Inspira" w:eastAsia="Times" w:hAnsi="GE Inspira"/>
          <w:kern w:val="8"/>
          <w:sz w:val="22"/>
          <w:szCs w:val="22"/>
          <w:lang w:eastAsia="en-US"/>
        </w:rPr>
        <w:t xml:space="preserve">” do opisów poszczególnych urządzeń tj. zakładek „PET/CT”, „CT” i  „MR”? Prosimy również o określenie jakiego koloru wiązka laserowa ma być w nich zainstalowana: czerwona czy zielona. </w:t>
      </w:r>
    </w:p>
    <w:p w:rsidR="00904907" w:rsidRDefault="00904907" w:rsidP="00622947">
      <w:pPr>
        <w:rPr>
          <w:rFonts w:ascii="Arial" w:hAnsi="Arial" w:cs="Arial"/>
        </w:rPr>
      </w:pPr>
    </w:p>
    <w:p w:rsidR="00904907" w:rsidRPr="00904907" w:rsidRDefault="00904907" w:rsidP="00622947">
      <w:pPr>
        <w:rPr>
          <w:rFonts w:ascii="Arial" w:hAnsi="Arial" w:cs="Arial"/>
          <w:b/>
          <w:u w:val="single"/>
        </w:rPr>
      </w:pPr>
      <w:r w:rsidRPr="00904907">
        <w:rPr>
          <w:rFonts w:ascii="Arial" w:hAnsi="Arial" w:cs="Arial"/>
          <w:b/>
          <w:u w:val="single"/>
        </w:rPr>
        <w:t>Zapytania nr 20</w:t>
      </w:r>
    </w:p>
    <w:p w:rsidR="00904907" w:rsidRDefault="00904907" w:rsidP="00622947">
      <w:pPr>
        <w:rPr>
          <w:rFonts w:ascii="Arial" w:hAnsi="Arial" w:cs="Arial"/>
        </w:rPr>
      </w:pPr>
    </w:p>
    <w:p w:rsidR="007A7C61" w:rsidRPr="00737E4A" w:rsidRDefault="007A7C61" w:rsidP="007A7C61">
      <w:pPr>
        <w:rPr>
          <w:rFonts w:ascii="Calibri" w:hAnsi="Calibri"/>
          <w:b/>
          <w:sz w:val="22"/>
          <w:szCs w:val="22"/>
        </w:rPr>
      </w:pPr>
      <w:r w:rsidRPr="00737E4A">
        <w:rPr>
          <w:rFonts w:ascii="Calibri" w:hAnsi="Calibri"/>
          <w:b/>
          <w:sz w:val="22"/>
          <w:szCs w:val="22"/>
        </w:rPr>
        <w:t>TELERADIOTERAPIA</w:t>
      </w:r>
    </w:p>
    <w:p w:rsidR="007A7C61" w:rsidRDefault="007A7C61" w:rsidP="007A7C61">
      <w:pPr>
        <w:rPr>
          <w:rFonts w:ascii="Calibri" w:hAnsi="Calibri"/>
          <w:b/>
          <w:sz w:val="22"/>
          <w:szCs w:val="22"/>
        </w:rPr>
      </w:pPr>
    </w:p>
    <w:p w:rsidR="007A7C61" w:rsidRPr="00737E4A" w:rsidRDefault="007A7C61" w:rsidP="007A7C61">
      <w:pPr>
        <w:rPr>
          <w:rFonts w:ascii="Calibri" w:hAnsi="Calibri"/>
          <w:b/>
          <w:sz w:val="22"/>
          <w:szCs w:val="22"/>
        </w:rPr>
      </w:pPr>
      <w:r w:rsidRPr="00737E4A">
        <w:rPr>
          <w:rFonts w:ascii="Calibri" w:hAnsi="Calibri"/>
          <w:b/>
          <w:sz w:val="22"/>
          <w:szCs w:val="22"/>
        </w:rPr>
        <w:t>Stół terapeutyczny</w:t>
      </w:r>
    </w:p>
    <w:p w:rsidR="007A7C61" w:rsidRPr="00737E4A" w:rsidRDefault="007A7C61" w:rsidP="007A7C61">
      <w:pPr>
        <w:pStyle w:val="Akapitzlist"/>
        <w:numPr>
          <w:ilvl w:val="0"/>
          <w:numId w:val="32"/>
        </w:numPr>
        <w:spacing w:line="259" w:lineRule="auto"/>
        <w:rPr>
          <w:rFonts w:ascii="Calibri" w:hAnsi="Calibri"/>
        </w:rPr>
      </w:pPr>
      <w:r w:rsidRPr="00737E4A">
        <w:rPr>
          <w:rFonts w:ascii="Calibri" w:hAnsi="Calibri"/>
        </w:rPr>
        <w:t>Czy Zamawiający dopuści (pkt 114) stół terapeutyczny z blatem wyposażonym w szyny boczne wykonane z włókna węglowego bez indeksowanego systemu mocowania unieruchomień?</w:t>
      </w:r>
    </w:p>
    <w:p w:rsidR="007A7C61" w:rsidRPr="00737E4A" w:rsidRDefault="007A7C61" w:rsidP="007A7C61">
      <w:pPr>
        <w:pStyle w:val="Akapitzlist"/>
        <w:numPr>
          <w:ilvl w:val="0"/>
          <w:numId w:val="32"/>
        </w:numPr>
        <w:spacing w:line="259" w:lineRule="auto"/>
        <w:rPr>
          <w:rFonts w:ascii="Calibri" w:hAnsi="Calibri"/>
        </w:rPr>
      </w:pPr>
      <w:r w:rsidRPr="00737E4A">
        <w:rPr>
          <w:rFonts w:ascii="Calibri" w:hAnsi="Calibri"/>
        </w:rPr>
        <w:t>Czy Zamawiający dopuści (pkt 115) stół terapeutyczny sterowany za pomocą pilota oraz panelu wbudowanego w kolumnę stołu, dostępnych bezpośrednio przy stole?</w:t>
      </w:r>
    </w:p>
    <w:p w:rsidR="007A7C61" w:rsidRPr="00737E4A" w:rsidRDefault="007A7C61" w:rsidP="007A7C61">
      <w:pPr>
        <w:pStyle w:val="Akapitzlist"/>
        <w:numPr>
          <w:ilvl w:val="0"/>
          <w:numId w:val="32"/>
        </w:numPr>
        <w:spacing w:line="259" w:lineRule="auto"/>
        <w:rPr>
          <w:rFonts w:ascii="Calibri" w:hAnsi="Calibri"/>
        </w:rPr>
      </w:pPr>
      <w:r w:rsidRPr="00737E4A">
        <w:rPr>
          <w:rFonts w:ascii="Calibri" w:hAnsi="Calibri"/>
        </w:rPr>
        <w:t>Czy Zamawiający dopuści (pkt 120) stół terapeutyczny sterowany za pomocą pilota z możliwości zawieszenia po obu stronach stołu oraz panelu sterowania wbudowanego w kolumnę stołu z jednej strony?</w:t>
      </w:r>
    </w:p>
    <w:p w:rsidR="007A7C61" w:rsidRPr="00737E4A" w:rsidRDefault="007A7C61" w:rsidP="007A7C61">
      <w:pPr>
        <w:rPr>
          <w:rFonts w:ascii="Calibri" w:hAnsi="Calibri"/>
          <w:b/>
          <w:sz w:val="22"/>
          <w:szCs w:val="22"/>
        </w:rPr>
      </w:pPr>
      <w:r w:rsidRPr="00737E4A">
        <w:rPr>
          <w:rFonts w:ascii="Calibri" w:hAnsi="Calibri"/>
          <w:b/>
          <w:sz w:val="22"/>
          <w:szCs w:val="22"/>
        </w:rPr>
        <w:t>Stół terapeutyczny dedykowany do modelarni</w:t>
      </w:r>
    </w:p>
    <w:p w:rsidR="007A7C61" w:rsidRPr="00737E4A" w:rsidRDefault="007A7C61" w:rsidP="007A7C61">
      <w:pPr>
        <w:pStyle w:val="Akapitzlist"/>
        <w:numPr>
          <w:ilvl w:val="0"/>
          <w:numId w:val="33"/>
        </w:numPr>
        <w:spacing w:line="259" w:lineRule="auto"/>
        <w:rPr>
          <w:rFonts w:ascii="Calibri" w:hAnsi="Calibri"/>
        </w:rPr>
      </w:pPr>
      <w:r w:rsidRPr="00737E4A">
        <w:rPr>
          <w:rFonts w:ascii="Calibri" w:hAnsi="Calibri"/>
        </w:rPr>
        <w:t>Czy Zamawiający dopuści (pkt 256.3) stół terapeutyczny z przesuwem elektrycznym regulowanym za pomocą układu elektromechanicznego lub elektrohydraulicznego?</w:t>
      </w:r>
    </w:p>
    <w:p w:rsidR="007A7C61" w:rsidRPr="00737E4A" w:rsidRDefault="007A7C61" w:rsidP="007A7C61">
      <w:pPr>
        <w:rPr>
          <w:rFonts w:ascii="Calibri" w:hAnsi="Calibri"/>
          <w:b/>
          <w:sz w:val="22"/>
          <w:szCs w:val="22"/>
        </w:rPr>
      </w:pPr>
      <w:r w:rsidRPr="00737E4A">
        <w:rPr>
          <w:rFonts w:ascii="Calibri" w:hAnsi="Calibri"/>
          <w:b/>
          <w:sz w:val="22"/>
          <w:szCs w:val="22"/>
        </w:rPr>
        <w:t>BRACHYTERAPIA</w:t>
      </w:r>
    </w:p>
    <w:p w:rsidR="007A7C61" w:rsidRPr="00737E4A" w:rsidRDefault="007A7C61" w:rsidP="007A7C61">
      <w:pPr>
        <w:rPr>
          <w:rFonts w:ascii="Calibri" w:hAnsi="Calibri"/>
          <w:b/>
          <w:sz w:val="22"/>
          <w:szCs w:val="22"/>
        </w:rPr>
      </w:pPr>
      <w:r w:rsidRPr="00737E4A">
        <w:rPr>
          <w:rFonts w:ascii="Calibri" w:hAnsi="Calibri"/>
          <w:b/>
          <w:sz w:val="22"/>
          <w:szCs w:val="22"/>
        </w:rPr>
        <w:t>Stół zabiegowy do brachyterapii</w:t>
      </w:r>
    </w:p>
    <w:p w:rsidR="007A7C61" w:rsidRPr="00737E4A" w:rsidRDefault="007A7C61" w:rsidP="007A7C61">
      <w:pPr>
        <w:pStyle w:val="Akapitzlist"/>
        <w:numPr>
          <w:ilvl w:val="0"/>
          <w:numId w:val="34"/>
        </w:numPr>
        <w:spacing w:line="259" w:lineRule="auto"/>
        <w:rPr>
          <w:rFonts w:ascii="Calibri" w:hAnsi="Calibri"/>
        </w:rPr>
      </w:pPr>
      <w:r w:rsidRPr="00737E4A">
        <w:rPr>
          <w:rFonts w:ascii="Calibri" w:hAnsi="Calibri"/>
        </w:rPr>
        <w:lastRenderedPageBreak/>
        <w:t>Czy Zamawiający dopuści stół zabiegowy do brachyterapii, w którym blat transportowy regulowany jest za pomocą układu elektrohydraulicznego?</w:t>
      </w:r>
    </w:p>
    <w:p w:rsidR="007A7C61" w:rsidRPr="00737E4A" w:rsidRDefault="007A7C61" w:rsidP="007A7C61">
      <w:pPr>
        <w:pStyle w:val="Akapitzlist"/>
        <w:numPr>
          <w:ilvl w:val="0"/>
          <w:numId w:val="34"/>
        </w:numPr>
        <w:spacing w:line="259" w:lineRule="auto"/>
        <w:rPr>
          <w:rFonts w:ascii="Calibri" w:hAnsi="Calibri"/>
        </w:rPr>
      </w:pPr>
      <w:r w:rsidRPr="00737E4A">
        <w:rPr>
          <w:rFonts w:ascii="Calibri" w:hAnsi="Calibri"/>
        </w:rPr>
        <w:t xml:space="preserve"> Czy Zamawiający dopuści stół zabiegowy z blatem wyposażonym w szyny boczne wykonane z włókna węglowego bez indeksowanego systemu mocowania unieruchomień?</w:t>
      </w:r>
    </w:p>
    <w:p w:rsidR="007A7C61" w:rsidRPr="00737E4A" w:rsidRDefault="007A7C61" w:rsidP="007A7C61">
      <w:pPr>
        <w:rPr>
          <w:rFonts w:ascii="Calibri" w:hAnsi="Calibri"/>
          <w:b/>
          <w:sz w:val="22"/>
          <w:szCs w:val="22"/>
        </w:rPr>
      </w:pPr>
      <w:r w:rsidRPr="00737E4A">
        <w:rPr>
          <w:rFonts w:ascii="Calibri" w:hAnsi="Calibri"/>
          <w:b/>
          <w:sz w:val="22"/>
          <w:szCs w:val="22"/>
        </w:rPr>
        <w:t>PET_CT</w:t>
      </w:r>
    </w:p>
    <w:p w:rsidR="007A7C61" w:rsidRPr="00737E4A" w:rsidRDefault="007A7C61" w:rsidP="007A7C61">
      <w:pPr>
        <w:rPr>
          <w:rFonts w:ascii="Calibri" w:hAnsi="Calibri"/>
          <w:b/>
          <w:sz w:val="22"/>
          <w:szCs w:val="22"/>
        </w:rPr>
      </w:pPr>
      <w:r w:rsidRPr="00737E4A">
        <w:rPr>
          <w:rFonts w:ascii="Calibri" w:hAnsi="Calibri"/>
          <w:b/>
          <w:sz w:val="22"/>
          <w:szCs w:val="22"/>
        </w:rPr>
        <w:t>STÓŁ</w:t>
      </w:r>
    </w:p>
    <w:p w:rsidR="007A7C61" w:rsidRPr="00737E4A" w:rsidRDefault="007A7C61" w:rsidP="007A7C61">
      <w:pPr>
        <w:pStyle w:val="Akapitzlist"/>
        <w:numPr>
          <w:ilvl w:val="0"/>
          <w:numId w:val="35"/>
        </w:numPr>
        <w:spacing w:line="259" w:lineRule="auto"/>
        <w:rPr>
          <w:rFonts w:ascii="Calibri" w:hAnsi="Calibri"/>
        </w:rPr>
      </w:pPr>
      <w:r w:rsidRPr="00737E4A">
        <w:rPr>
          <w:rFonts w:ascii="Calibri" w:hAnsi="Calibri"/>
        </w:rPr>
        <w:t>Czy Zamawiający dopuści stół z przesuwem wzdłużnym 300mm, jednakże o konstrukcji pozwalającej na wykonanie zdjęcia RTG na długości 1550mm blatu stołu?</w:t>
      </w:r>
    </w:p>
    <w:p w:rsidR="007A7C61" w:rsidRPr="00737E4A" w:rsidRDefault="007A7C61" w:rsidP="007A7C61">
      <w:pPr>
        <w:pStyle w:val="Akapitzlist"/>
        <w:numPr>
          <w:ilvl w:val="0"/>
          <w:numId w:val="35"/>
        </w:numPr>
        <w:spacing w:line="259" w:lineRule="auto"/>
        <w:rPr>
          <w:rFonts w:ascii="Calibri" w:hAnsi="Calibri"/>
        </w:rPr>
      </w:pPr>
      <w:r w:rsidRPr="00737E4A">
        <w:rPr>
          <w:rFonts w:ascii="Calibri" w:hAnsi="Calibri"/>
        </w:rPr>
        <w:t>Czy Zamawiający dopuści stół z jednym blatem wykonanym z włókna węglowego, służącym zarówno do diagnostyki jak i radioterapii?</w:t>
      </w:r>
    </w:p>
    <w:p w:rsidR="007A7C61" w:rsidRPr="00737E4A" w:rsidRDefault="007A7C61" w:rsidP="007A7C61">
      <w:pPr>
        <w:pStyle w:val="Akapitzlist"/>
        <w:numPr>
          <w:ilvl w:val="0"/>
          <w:numId w:val="35"/>
        </w:numPr>
        <w:spacing w:line="259" w:lineRule="auto"/>
        <w:rPr>
          <w:rFonts w:ascii="Calibri" w:hAnsi="Calibri"/>
        </w:rPr>
      </w:pPr>
      <w:r w:rsidRPr="00737E4A">
        <w:rPr>
          <w:rFonts w:ascii="Calibri" w:hAnsi="Calibri"/>
        </w:rPr>
        <w:t>Czy Zamawiający dopuści stół zabiegowy sterowany za pomocą pilota oraz panelu wbudowanego w kolumnę stołu, dostępnych bezpośrednio przy stole?</w:t>
      </w:r>
    </w:p>
    <w:p w:rsidR="007A7C61" w:rsidRPr="00737E4A" w:rsidRDefault="007A7C61" w:rsidP="007A7C61">
      <w:pPr>
        <w:jc w:val="both"/>
        <w:rPr>
          <w:rFonts w:ascii="Calibri" w:hAnsi="Calibri" w:cs="Calibri"/>
          <w:sz w:val="22"/>
          <w:szCs w:val="22"/>
        </w:rPr>
      </w:pPr>
    </w:p>
    <w:p w:rsidR="007A7C61" w:rsidRPr="00737E4A" w:rsidRDefault="007A7C61" w:rsidP="007A7C61">
      <w:pPr>
        <w:jc w:val="both"/>
        <w:rPr>
          <w:rFonts w:ascii="Calibri" w:hAnsi="Calibri"/>
          <w:sz w:val="22"/>
          <w:szCs w:val="22"/>
        </w:rPr>
      </w:pPr>
      <w:r w:rsidRPr="00737E4A">
        <w:rPr>
          <w:rFonts w:ascii="Calibri" w:hAnsi="Calibri"/>
          <w:sz w:val="22"/>
          <w:szCs w:val="22"/>
        </w:rPr>
        <w:t>1.</w:t>
      </w:r>
      <w:r w:rsidRPr="00737E4A">
        <w:rPr>
          <w:rFonts w:ascii="Calibri" w:hAnsi="Calibri"/>
          <w:sz w:val="22"/>
          <w:szCs w:val="22"/>
        </w:rPr>
        <w:tab/>
        <w:t xml:space="preserve">W związku z załączonym projektem technologii medycznej i koniecznością zainstalowania lamp bakteriobójczych w pomieszczeniach „Poczekalnia gorąca” i „Gabinet zabiegowy” PET/CT  , zwracamy uwagę , że zgodnie z rozporządzeniem Ministra Zdrowia z 2012 r. , minister właściwy wycofał się ze stosowania lamp bakteriobójczych w pomieszczeniach szpitalnych zalecając jednak stosowanie dezynfekcji pomieszczeń. </w:t>
      </w:r>
    </w:p>
    <w:p w:rsidR="007A7C61" w:rsidRPr="00737E4A" w:rsidRDefault="007A7C61" w:rsidP="007A7C61">
      <w:pPr>
        <w:jc w:val="both"/>
        <w:rPr>
          <w:rFonts w:ascii="Calibri" w:hAnsi="Calibri"/>
          <w:sz w:val="22"/>
          <w:szCs w:val="22"/>
        </w:rPr>
      </w:pPr>
      <w:r w:rsidRPr="00737E4A">
        <w:rPr>
          <w:rFonts w:ascii="Calibri" w:hAnsi="Calibri"/>
          <w:sz w:val="22"/>
          <w:szCs w:val="22"/>
        </w:rPr>
        <w:t>W związku z powyższym, czy Zamawiający będzie oczekiwał dezynfekcji pomieszczeń, poprzez zastosowanie jonizacji katalitycznej montowanej w wszystkich centralach wentylacyjnych, zapewniającej dezynfekcję zarówno kanałów wentylacyjnych jak i pomieszczeń. Zaoferowane rozwiązanie daje najwyższą z dostępnych na rynku skuteczność przy założeniu pracy w trybie ciągłym bez konieczności wyłączania z użytku jakichkolwiek pomieszczań na czas dezynfekcji. Poniżej przykładowe parametry skuteczności epidemiologicznej:</w:t>
      </w:r>
    </w:p>
    <w:p w:rsidR="007A7C61" w:rsidRPr="00737E4A" w:rsidRDefault="007A7C61" w:rsidP="007A7C61">
      <w:pPr>
        <w:pStyle w:val="Akapitzlist"/>
        <w:numPr>
          <w:ilvl w:val="0"/>
          <w:numId w:val="36"/>
        </w:numPr>
        <w:spacing w:after="0" w:line="252" w:lineRule="auto"/>
        <w:jc w:val="both"/>
        <w:rPr>
          <w:rFonts w:ascii="Calibri" w:hAnsi="Calibri"/>
        </w:rPr>
      </w:pPr>
      <w:r w:rsidRPr="00737E4A">
        <w:rPr>
          <w:rFonts w:ascii="Calibri" w:hAnsi="Calibri"/>
        </w:rPr>
        <w:t xml:space="preserve">Gronkowiec Złocisty </w:t>
      </w:r>
      <w:r w:rsidRPr="00737E4A">
        <w:rPr>
          <w:rFonts w:ascii="Calibri" w:hAnsi="Calibri"/>
          <w:i/>
          <w:iCs/>
        </w:rPr>
        <w:t>(</w:t>
      </w:r>
      <w:proofErr w:type="spellStart"/>
      <w:r w:rsidRPr="00737E4A">
        <w:rPr>
          <w:rFonts w:ascii="Calibri" w:hAnsi="Calibri"/>
          <w:i/>
          <w:iCs/>
        </w:rPr>
        <w:t>Staphylococcus</w:t>
      </w:r>
      <w:proofErr w:type="spellEnd"/>
      <w:r w:rsidRPr="00737E4A">
        <w:rPr>
          <w:rFonts w:ascii="Calibri" w:hAnsi="Calibri"/>
          <w:i/>
          <w:iCs/>
        </w:rPr>
        <w:t xml:space="preserve"> </w:t>
      </w:r>
      <w:proofErr w:type="spellStart"/>
      <w:r w:rsidRPr="00737E4A">
        <w:rPr>
          <w:rFonts w:ascii="Calibri" w:hAnsi="Calibri"/>
          <w:i/>
          <w:iCs/>
        </w:rPr>
        <w:t>aureus</w:t>
      </w:r>
      <w:proofErr w:type="spellEnd"/>
      <w:r w:rsidRPr="00737E4A">
        <w:rPr>
          <w:rFonts w:ascii="Calibri" w:hAnsi="Calibri"/>
          <w:i/>
          <w:iCs/>
        </w:rPr>
        <w:t>)</w:t>
      </w:r>
      <w:r w:rsidRPr="00737E4A">
        <w:rPr>
          <w:rFonts w:ascii="Calibri" w:hAnsi="Calibri"/>
        </w:rPr>
        <w:t xml:space="preserve"> : 98.5% redukcji </w:t>
      </w:r>
    </w:p>
    <w:p w:rsidR="007A7C61" w:rsidRPr="00737E4A" w:rsidRDefault="007A7C61" w:rsidP="007A7C61">
      <w:pPr>
        <w:pStyle w:val="Akapitzlist"/>
        <w:numPr>
          <w:ilvl w:val="0"/>
          <w:numId w:val="36"/>
        </w:numPr>
        <w:spacing w:after="0" w:line="252" w:lineRule="auto"/>
        <w:jc w:val="both"/>
        <w:rPr>
          <w:rFonts w:ascii="Calibri" w:hAnsi="Calibri"/>
        </w:rPr>
      </w:pPr>
      <w:r w:rsidRPr="00737E4A">
        <w:rPr>
          <w:rFonts w:ascii="Calibri" w:hAnsi="Calibri"/>
        </w:rPr>
        <w:t xml:space="preserve">Gronkowiec Złocisty oporny na </w:t>
      </w:r>
      <w:proofErr w:type="spellStart"/>
      <w:r w:rsidRPr="00737E4A">
        <w:rPr>
          <w:rFonts w:ascii="Calibri" w:hAnsi="Calibri"/>
        </w:rPr>
        <w:t>metycylinę</w:t>
      </w:r>
      <w:proofErr w:type="spellEnd"/>
      <w:r w:rsidRPr="00737E4A">
        <w:rPr>
          <w:rFonts w:ascii="Calibri" w:hAnsi="Calibri"/>
          <w:i/>
          <w:iCs/>
        </w:rPr>
        <w:t xml:space="preserve"> (</w:t>
      </w:r>
      <w:proofErr w:type="spellStart"/>
      <w:r w:rsidRPr="00737E4A">
        <w:rPr>
          <w:rFonts w:ascii="Calibri" w:hAnsi="Calibri"/>
          <w:i/>
          <w:iCs/>
        </w:rPr>
        <w:t>Methycillin</w:t>
      </w:r>
      <w:proofErr w:type="spellEnd"/>
      <w:r w:rsidRPr="00737E4A">
        <w:rPr>
          <w:rFonts w:ascii="Calibri" w:hAnsi="Calibri"/>
          <w:i/>
          <w:iCs/>
        </w:rPr>
        <w:t xml:space="preserve"> </w:t>
      </w:r>
      <w:proofErr w:type="spellStart"/>
      <w:r w:rsidRPr="00737E4A">
        <w:rPr>
          <w:rFonts w:ascii="Calibri" w:hAnsi="Calibri"/>
          <w:i/>
          <w:iCs/>
        </w:rPr>
        <w:t>Resistant</w:t>
      </w:r>
      <w:proofErr w:type="spellEnd"/>
      <w:r w:rsidRPr="00737E4A">
        <w:rPr>
          <w:rFonts w:ascii="Calibri" w:hAnsi="Calibri"/>
          <w:i/>
          <w:iCs/>
        </w:rPr>
        <w:t xml:space="preserve"> </w:t>
      </w:r>
      <w:proofErr w:type="spellStart"/>
      <w:r w:rsidRPr="00737E4A">
        <w:rPr>
          <w:rFonts w:ascii="Calibri" w:hAnsi="Calibri"/>
          <w:i/>
          <w:iCs/>
        </w:rPr>
        <w:t>Staphylococcus</w:t>
      </w:r>
      <w:proofErr w:type="spellEnd"/>
      <w:r w:rsidRPr="00737E4A">
        <w:rPr>
          <w:rFonts w:ascii="Calibri" w:hAnsi="Calibri"/>
          <w:i/>
          <w:iCs/>
        </w:rPr>
        <w:t xml:space="preserve"> </w:t>
      </w:r>
      <w:proofErr w:type="spellStart"/>
      <w:r w:rsidRPr="00737E4A">
        <w:rPr>
          <w:rFonts w:ascii="Calibri" w:hAnsi="Calibri"/>
          <w:i/>
          <w:iCs/>
        </w:rPr>
        <w:t>aureus</w:t>
      </w:r>
      <w:proofErr w:type="spellEnd"/>
      <w:r w:rsidRPr="00737E4A">
        <w:rPr>
          <w:rFonts w:ascii="Calibri" w:hAnsi="Calibri"/>
          <w:i/>
          <w:iCs/>
        </w:rPr>
        <w:t>)</w:t>
      </w:r>
      <w:r w:rsidRPr="00737E4A">
        <w:rPr>
          <w:rFonts w:ascii="Calibri" w:hAnsi="Calibri"/>
        </w:rPr>
        <w:t>: 99.8% redukcji</w:t>
      </w:r>
    </w:p>
    <w:p w:rsidR="007A7C61" w:rsidRPr="00737E4A" w:rsidRDefault="007A7C61" w:rsidP="007A7C61">
      <w:pPr>
        <w:numPr>
          <w:ilvl w:val="0"/>
          <w:numId w:val="36"/>
        </w:numPr>
        <w:suppressAutoHyphens w:val="0"/>
        <w:spacing w:line="252" w:lineRule="auto"/>
        <w:jc w:val="both"/>
        <w:rPr>
          <w:rFonts w:ascii="Calibri" w:hAnsi="Calibri"/>
          <w:sz w:val="22"/>
          <w:szCs w:val="22"/>
        </w:rPr>
      </w:pPr>
      <w:r w:rsidRPr="00737E4A">
        <w:rPr>
          <w:rFonts w:ascii="Calibri" w:hAnsi="Calibri"/>
          <w:sz w:val="22"/>
          <w:szCs w:val="22"/>
          <w:lang w:val="en-US"/>
        </w:rPr>
        <w:t xml:space="preserve">E-Coli </w:t>
      </w:r>
      <w:r w:rsidRPr="00737E4A">
        <w:rPr>
          <w:rFonts w:ascii="Calibri" w:hAnsi="Calibri"/>
          <w:i/>
          <w:iCs/>
          <w:sz w:val="22"/>
          <w:szCs w:val="22"/>
          <w:lang w:val="en-US"/>
        </w:rPr>
        <w:t>(Escherichia coli)</w:t>
      </w:r>
      <w:r w:rsidRPr="00737E4A">
        <w:rPr>
          <w:rFonts w:ascii="Calibri" w:hAnsi="Calibri"/>
          <w:sz w:val="22"/>
          <w:szCs w:val="22"/>
          <w:lang w:val="en-US"/>
        </w:rPr>
        <w:t xml:space="preserve"> : 98.1% </w:t>
      </w:r>
      <w:proofErr w:type="spellStart"/>
      <w:r w:rsidRPr="00737E4A">
        <w:rPr>
          <w:rFonts w:ascii="Calibri" w:hAnsi="Calibri"/>
          <w:sz w:val="22"/>
          <w:szCs w:val="22"/>
          <w:lang w:val="en-US"/>
        </w:rPr>
        <w:t>redu</w:t>
      </w:r>
      <w:r w:rsidRPr="00737E4A">
        <w:rPr>
          <w:rFonts w:ascii="Calibri" w:hAnsi="Calibri"/>
          <w:sz w:val="22"/>
          <w:szCs w:val="22"/>
        </w:rPr>
        <w:t>kcji</w:t>
      </w:r>
      <w:proofErr w:type="spellEnd"/>
    </w:p>
    <w:p w:rsidR="007A7C61" w:rsidRPr="00737E4A" w:rsidRDefault="007A7C61" w:rsidP="007A7C61">
      <w:pPr>
        <w:numPr>
          <w:ilvl w:val="0"/>
          <w:numId w:val="36"/>
        </w:numPr>
        <w:suppressAutoHyphens w:val="0"/>
        <w:spacing w:line="252" w:lineRule="auto"/>
        <w:jc w:val="both"/>
        <w:rPr>
          <w:rFonts w:ascii="Calibri" w:hAnsi="Calibri"/>
          <w:sz w:val="22"/>
          <w:szCs w:val="22"/>
        </w:rPr>
      </w:pPr>
      <w:r w:rsidRPr="00737E4A">
        <w:rPr>
          <w:rFonts w:ascii="Calibri" w:hAnsi="Calibri"/>
          <w:sz w:val="22"/>
          <w:szCs w:val="22"/>
        </w:rPr>
        <w:t xml:space="preserve">Rodzina </w:t>
      </w:r>
      <w:proofErr w:type="spellStart"/>
      <w:r w:rsidRPr="00737E4A">
        <w:rPr>
          <w:rFonts w:ascii="Calibri" w:hAnsi="Calibri"/>
          <w:sz w:val="22"/>
          <w:szCs w:val="22"/>
        </w:rPr>
        <w:t>Anthrax</w:t>
      </w:r>
      <w:proofErr w:type="spellEnd"/>
      <w:r w:rsidRPr="00737E4A">
        <w:rPr>
          <w:rFonts w:ascii="Calibri" w:hAnsi="Calibri"/>
          <w:sz w:val="22"/>
          <w:szCs w:val="22"/>
        </w:rPr>
        <w:t xml:space="preserve"> (wąglik – </w:t>
      </w:r>
      <w:proofErr w:type="spellStart"/>
      <w:r w:rsidRPr="00737E4A">
        <w:rPr>
          <w:rFonts w:ascii="Calibri" w:hAnsi="Calibri"/>
          <w:i/>
          <w:iCs/>
          <w:sz w:val="22"/>
          <w:szCs w:val="22"/>
        </w:rPr>
        <w:t>Bacillus</w:t>
      </w:r>
      <w:proofErr w:type="spellEnd"/>
      <w:r w:rsidRPr="00737E4A">
        <w:rPr>
          <w:rFonts w:ascii="Calibri" w:hAnsi="Calibri"/>
          <w:i/>
          <w:iCs/>
          <w:sz w:val="22"/>
          <w:szCs w:val="22"/>
        </w:rPr>
        <w:t xml:space="preserve"> </w:t>
      </w:r>
      <w:proofErr w:type="spellStart"/>
      <w:r w:rsidRPr="00737E4A">
        <w:rPr>
          <w:rFonts w:ascii="Calibri" w:hAnsi="Calibri"/>
          <w:sz w:val="22"/>
          <w:szCs w:val="22"/>
        </w:rPr>
        <w:t>spp</w:t>
      </w:r>
      <w:proofErr w:type="spellEnd"/>
      <w:r w:rsidRPr="00737E4A">
        <w:rPr>
          <w:rFonts w:ascii="Calibri" w:hAnsi="Calibri"/>
          <w:sz w:val="22"/>
          <w:szCs w:val="22"/>
        </w:rPr>
        <w:t>.) :   99.38% redukcji</w:t>
      </w:r>
    </w:p>
    <w:p w:rsidR="007A7C61" w:rsidRPr="00737E4A" w:rsidRDefault="007A7C61" w:rsidP="007A7C61">
      <w:pPr>
        <w:numPr>
          <w:ilvl w:val="0"/>
          <w:numId w:val="36"/>
        </w:numPr>
        <w:suppressAutoHyphens w:val="0"/>
        <w:spacing w:line="252" w:lineRule="auto"/>
        <w:jc w:val="both"/>
        <w:rPr>
          <w:rFonts w:ascii="Calibri" w:hAnsi="Calibri"/>
          <w:sz w:val="22"/>
          <w:szCs w:val="22"/>
        </w:rPr>
      </w:pPr>
      <w:r w:rsidRPr="00737E4A">
        <w:rPr>
          <w:rFonts w:ascii="Calibri" w:hAnsi="Calibri"/>
          <w:sz w:val="22"/>
          <w:szCs w:val="22"/>
        </w:rPr>
        <w:t xml:space="preserve">Paciorkowce </w:t>
      </w:r>
      <w:r w:rsidRPr="00737E4A">
        <w:rPr>
          <w:rFonts w:ascii="Calibri" w:hAnsi="Calibri"/>
          <w:i/>
          <w:iCs/>
          <w:sz w:val="22"/>
          <w:szCs w:val="22"/>
          <w:lang w:val="en-US"/>
        </w:rPr>
        <w:t xml:space="preserve">(Streptococcus </w:t>
      </w:r>
      <w:r w:rsidRPr="00737E4A">
        <w:rPr>
          <w:rFonts w:ascii="Calibri" w:hAnsi="Calibri"/>
          <w:sz w:val="22"/>
          <w:szCs w:val="22"/>
          <w:lang w:val="en-US"/>
        </w:rPr>
        <w:t xml:space="preserve">spp.) :  96.4% </w:t>
      </w:r>
      <w:proofErr w:type="spellStart"/>
      <w:r w:rsidRPr="00737E4A">
        <w:rPr>
          <w:rFonts w:ascii="Calibri" w:hAnsi="Calibri"/>
          <w:sz w:val="22"/>
          <w:szCs w:val="22"/>
          <w:lang w:val="en-US"/>
        </w:rPr>
        <w:t>redu</w:t>
      </w:r>
      <w:r w:rsidRPr="00737E4A">
        <w:rPr>
          <w:rFonts w:ascii="Calibri" w:hAnsi="Calibri"/>
          <w:sz w:val="22"/>
          <w:szCs w:val="22"/>
        </w:rPr>
        <w:t>kcji</w:t>
      </w:r>
      <w:proofErr w:type="spellEnd"/>
    </w:p>
    <w:p w:rsidR="007A7C61" w:rsidRPr="00737E4A" w:rsidRDefault="007A7C61" w:rsidP="007A7C61">
      <w:pPr>
        <w:numPr>
          <w:ilvl w:val="0"/>
          <w:numId w:val="36"/>
        </w:numPr>
        <w:suppressAutoHyphens w:val="0"/>
        <w:spacing w:line="252" w:lineRule="auto"/>
        <w:jc w:val="both"/>
        <w:rPr>
          <w:rFonts w:ascii="Calibri" w:hAnsi="Calibri"/>
          <w:sz w:val="22"/>
          <w:szCs w:val="22"/>
        </w:rPr>
      </w:pPr>
      <w:r w:rsidRPr="00737E4A">
        <w:rPr>
          <w:rFonts w:ascii="Calibri" w:hAnsi="Calibri"/>
          <w:i/>
          <w:iCs/>
          <w:sz w:val="22"/>
          <w:szCs w:val="22"/>
          <w:lang w:val="en-US"/>
        </w:rPr>
        <w:t xml:space="preserve">Pseudomonas </w:t>
      </w:r>
      <w:proofErr w:type="spellStart"/>
      <w:r w:rsidRPr="00737E4A">
        <w:rPr>
          <w:rFonts w:ascii="Calibri" w:hAnsi="Calibri"/>
          <w:i/>
          <w:iCs/>
          <w:sz w:val="22"/>
          <w:szCs w:val="22"/>
          <w:lang w:val="en-US"/>
        </w:rPr>
        <w:t>aureuginosa</w:t>
      </w:r>
      <w:proofErr w:type="spellEnd"/>
      <w:r w:rsidRPr="00737E4A">
        <w:rPr>
          <w:rFonts w:ascii="Calibri" w:hAnsi="Calibri"/>
          <w:sz w:val="22"/>
          <w:szCs w:val="22"/>
          <w:lang w:val="en-US"/>
        </w:rPr>
        <w:t xml:space="preserve"> : 99.0% </w:t>
      </w:r>
      <w:proofErr w:type="spellStart"/>
      <w:r w:rsidRPr="00737E4A">
        <w:rPr>
          <w:rFonts w:ascii="Calibri" w:hAnsi="Calibri"/>
          <w:sz w:val="22"/>
          <w:szCs w:val="22"/>
          <w:lang w:val="en-US"/>
        </w:rPr>
        <w:t>redu</w:t>
      </w:r>
      <w:r w:rsidRPr="00737E4A">
        <w:rPr>
          <w:rFonts w:ascii="Calibri" w:hAnsi="Calibri"/>
          <w:sz w:val="22"/>
          <w:szCs w:val="22"/>
        </w:rPr>
        <w:t>kcji</w:t>
      </w:r>
      <w:proofErr w:type="spellEnd"/>
    </w:p>
    <w:p w:rsidR="007A7C61" w:rsidRPr="00737E4A" w:rsidRDefault="007A7C61" w:rsidP="007A7C61">
      <w:pPr>
        <w:numPr>
          <w:ilvl w:val="0"/>
          <w:numId w:val="36"/>
        </w:numPr>
        <w:suppressAutoHyphens w:val="0"/>
        <w:spacing w:line="252" w:lineRule="auto"/>
        <w:jc w:val="both"/>
        <w:rPr>
          <w:rFonts w:ascii="Calibri" w:hAnsi="Calibri"/>
          <w:sz w:val="22"/>
          <w:szCs w:val="22"/>
        </w:rPr>
      </w:pPr>
      <w:r w:rsidRPr="00737E4A">
        <w:rPr>
          <w:rFonts w:ascii="Calibri" w:hAnsi="Calibri"/>
          <w:i/>
          <w:iCs/>
          <w:sz w:val="22"/>
          <w:szCs w:val="22"/>
          <w:lang w:val="en-US"/>
        </w:rPr>
        <w:t>Listeria monocytogenes</w:t>
      </w:r>
      <w:r w:rsidRPr="00737E4A">
        <w:rPr>
          <w:rFonts w:ascii="Calibri" w:hAnsi="Calibri"/>
          <w:sz w:val="22"/>
          <w:szCs w:val="22"/>
          <w:lang w:val="en-US"/>
        </w:rPr>
        <w:t xml:space="preserve"> : 99.75% </w:t>
      </w:r>
      <w:proofErr w:type="spellStart"/>
      <w:r w:rsidRPr="00737E4A">
        <w:rPr>
          <w:rFonts w:ascii="Calibri" w:hAnsi="Calibri"/>
          <w:sz w:val="22"/>
          <w:szCs w:val="22"/>
          <w:lang w:val="en-US"/>
        </w:rPr>
        <w:t>redu</w:t>
      </w:r>
      <w:r w:rsidRPr="00737E4A">
        <w:rPr>
          <w:rFonts w:ascii="Calibri" w:hAnsi="Calibri"/>
          <w:sz w:val="22"/>
          <w:szCs w:val="22"/>
        </w:rPr>
        <w:t>kcji</w:t>
      </w:r>
      <w:proofErr w:type="spellEnd"/>
    </w:p>
    <w:p w:rsidR="007A7C61" w:rsidRPr="00737E4A" w:rsidRDefault="007A7C61" w:rsidP="007A7C61">
      <w:pPr>
        <w:numPr>
          <w:ilvl w:val="0"/>
          <w:numId w:val="36"/>
        </w:numPr>
        <w:suppressAutoHyphens w:val="0"/>
        <w:spacing w:line="252" w:lineRule="auto"/>
        <w:jc w:val="both"/>
        <w:rPr>
          <w:rFonts w:ascii="Calibri" w:hAnsi="Calibri"/>
          <w:sz w:val="22"/>
          <w:szCs w:val="22"/>
        </w:rPr>
      </w:pPr>
      <w:r w:rsidRPr="00737E4A">
        <w:rPr>
          <w:rFonts w:ascii="Calibri" w:hAnsi="Calibri"/>
          <w:i/>
          <w:iCs/>
          <w:sz w:val="22"/>
          <w:szCs w:val="22"/>
          <w:lang w:val="en-US"/>
        </w:rPr>
        <w:t>Candida albicans</w:t>
      </w:r>
      <w:r w:rsidRPr="00737E4A">
        <w:rPr>
          <w:rFonts w:ascii="Calibri" w:hAnsi="Calibri"/>
          <w:sz w:val="22"/>
          <w:szCs w:val="22"/>
          <w:lang w:val="en-US"/>
        </w:rPr>
        <w:t xml:space="preserve"> : 99.92% </w:t>
      </w:r>
      <w:proofErr w:type="spellStart"/>
      <w:r w:rsidRPr="00737E4A">
        <w:rPr>
          <w:rFonts w:ascii="Calibri" w:hAnsi="Calibri"/>
          <w:sz w:val="22"/>
          <w:szCs w:val="22"/>
          <w:lang w:val="en-US"/>
        </w:rPr>
        <w:t>redu</w:t>
      </w:r>
      <w:r w:rsidRPr="00737E4A">
        <w:rPr>
          <w:rFonts w:ascii="Calibri" w:hAnsi="Calibri"/>
          <w:sz w:val="22"/>
          <w:szCs w:val="22"/>
        </w:rPr>
        <w:t>kcji</w:t>
      </w:r>
      <w:proofErr w:type="spellEnd"/>
    </w:p>
    <w:p w:rsidR="007A7C61" w:rsidRPr="00737E4A" w:rsidRDefault="007A7C61" w:rsidP="007A7C61">
      <w:pPr>
        <w:numPr>
          <w:ilvl w:val="0"/>
          <w:numId w:val="36"/>
        </w:numPr>
        <w:suppressAutoHyphens w:val="0"/>
        <w:spacing w:line="252" w:lineRule="auto"/>
        <w:jc w:val="both"/>
        <w:rPr>
          <w:rFonts w:ascii="Calibri" w:hAnsi="Calibri"/>
          <w:sz w:val="22"/>
          <w:szCs w:val="22"/>
        </w:rPr>
      </w:pPr>
      <w:r w:rsidRPr="00737E4A">
        <w:rPr>
          <w:rFonts w:ascii="Calibri" w:hAnsi="Calibri"/>
          <w:sz w:val="22"/>
          <w:szCs w:val="22"/>
        </w:rPr>
        <w:t xml:space="preserve">Grzyby pleśniowe </w:t>
      </w:r>
      <w:r w:rsidRPr="00737E4A">
        <w:rPr>
          <w:rFonts w:ascii="Calibri" w:hAnsi="Calibri"/>
          <w:i/>
          <w:iCs/>
          <w:sz w:val="22"/>
          <w:szCs w:val="22"/>
        </w:rPr>
        <w:t>(</w:t>
      </w:r>
      <w:proofErr w:type="spellStart"/>
      <w:r w:rsidRPr="00737E4A">
        <w:rPr>
          <w:rFonts w:ascii="Calibri" w:hAnsi="Calibri"/>
          <w:i/>
          <w:iCs/>
          <w:sz w:val="22"/>
          <w:szCs w:val="22"/>
        </w:rPr>
        <w:t>Stachybotrys</w:t>
      </w:r>
      <w:proofErr w:type="spellEnd"/>
      <w:r w:rsidRPr="00737E4A">
        <w:rPr>
          <w:rFonts w:ascii="Calibri" w:hAnsi="Calibri"/>
          <w:i/>
          <w:iCs/>
          <w:sz w:val="22"/>
          <w:szCs w:val="22"/>
        </w:rPr>
        <w:t xml:space="preserve"> </w:t>
      </w:r>
      <w:proofErr w:type="spellStart"/>
      <w:r w:rsidRPr="00737E4A">
        <w:rPr>
          <w:rFonts w:ascii="Calibri" w:hAnsi="Calibri"/>
          <w:i/>
          <w:iCs/>
          <w:sz w:val="22"/>
          <w:szCs w:val="22"/>
        </w:rPr>
        <w:t>chartarum</w:t>
      </w:r>
      <w:proofErr w:type="spellEnd"/>
      <w:r w:rsidRPr="00737E4A">
        <w:rPr>
          <w:rFonts w:ascii="Calibri" w:hAnsi="Calibri"/>
          <w:i/>
          <w:iCs/>
          <w:sz w:val="22"/>
          <w:szCs w:val="22"/>
        </w:rPr>
        <w:t>)</w:t>
      </w:r>
      <w:r w:rsidRPr="00737E4A">
        <w:rPr>
          <w:rFonts w:ascii="Calibri" w:hAnsi="Calibri"/>
          <w:sz w:val="22"/>
          <w:szCs w:val="22"/>
        </w:rPr>
        <w:t xml:space="preserve"> : 99.93% redukcji</w:t>
      </w:r>
    </w:p>
    <w:p w:rsidR="007A7C61" w:rsidRPr="00737E4A" w:rsidRDefault="007A7C61" w:rsidP="007A7C61">
      <w:pPr>
        <w:spacing w:line="252" w:lineRule="auto"/>
        <w:ind w:left="360"/>
        <w:jc w:val="both"/>
        <w:rPr>
          <w:rFonts w:ascii="Calibri" w:hAnsi="Calibri"/>
          <w:sz w:val="22"/>
          <w:szCs w:val="22"/>
        </w:rPr>
      </w:pPr>
    </w:p>
    <w:p w:rsidR="007A7C61" w:rsidRDefault="007A7C61" w:rsidP="007A7C61">
      <w:pPr>
        <w:spacing w:line="252" w:lineRule="auto"/>
        <w:jc w:val="both"/>
        <w:rPr>
          <w:rFonts w:ascii="Calibri" w:hAnsi="Calibri"/>
          <w:sz w:val="22"/>
          <w:szCs w:val="22"/>
        </w:rPr>
      </w:pPr>
      <w:r w:rsidRPr="00737E4A">
        <w:rPr>
          <w:rFonts w:ascii="Calibri" w:hAnsi="Calibri"/>
          <w:sz w:val="22"/>
          <w:szCs w:val="22"/>
        </w:rPr>
        <w:t>Czy w „Załączniku nr 1 – Oferta Techniczna” arkusz „Cytostatyki”  Zamawiający oczekuje urządzenia o poniższych parametrach:</w:t>
      </w:r>
    </w:p>
    <w:p w:rsidR="007A7C61" w:rsidRPr="00737E4A" w:rsidRDefault="007A7C61" w:rsidP="007A7C61">
      <w:pPr>
        <w:spacing w:line="252" w:lineRule="auto"/>
        <w:jc w:val="both"/>
        <w:rPr>
          <w:rFonts w:ascii="Calibri" w:hAnsi="Calibri"/>
          <w:sz w:val="22"/>
          <w:szCs w:val="22"/>
        </w:rPr>
      </w:pPr>
    </w:p>
    <w:tbl>
      <w:tblPr>
        <w:tblW w:w="9087" w:type="dxa"/>
        <w:tblInd w:w="55" w:type="dxa"/>
        <w:tblCellMar>
          <w:left w:w="70" w:type="dxa"/>
          <w:right w:w="70" w:type="dxa"/>
        </w:tblCellMar>
        <w:tblLook w:val="04A0" w:firstRow="1" w:lastRow="0" w:firstColumn="1" w:lastColumn="0" w:noHBand="0" w:noVBand="1"/>
      </w:tblPr>
      <w:tblGrid>
        <w:gridCol w:w="960"/>
        <w:gridCol w:w="8127"/>
      </w:tblGrid>
      <w:tr w:rsidR="007A7C61" w:rsidRPr="00737E4A" w:rsidTr="00EE5B22">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7C61" w:rsidRPr="00737E4A" w:rsidRDefault="007A7C61" w:rsidP="00EE5B22">
            <w:pPr>
              <w:jc w:val="center"/>
              <w:rPr>
                <w:rFonts w:ascii="Calibri" w:hAnsi="Calibri" w:cs="Arial"/>
                <w:b/>
                <w:bCs/>
                <w:color w:val="000000"/>
                <w:sz w:val="22"/>
                <w:szCs w:val="22"/>
                <w:lang w:eastAsia="pl-PL"/>
              </w:rPr>
            </w:pPr>
            <w:r w:rsidRPr="00737E4A">
              <w:rPr>
                <w:rFonts w:ascii="Calibri" w:hAnsi="Calibri" w:cs="Arial"/>
                <w:b/>
                <w:bCs/>
                <w:color w:val="000000"/>
                <w:sz w:val="22"/>
                <w:szCs w:val="22"/>
                <w:lang w:eastAsia="pl-PL"/>
              </w:rPr>
              <w:t>1</w:t>
            </w:r>
          </w:p>
        </w:tc>
        <w:tc>
          <w:tcPr>
            <w:tcW w:w="8127" w:type="dxa"/>
            <w:tcBorders>
              <w:top w:val="single" w:sz="4" w:space="0" w:color="auto"/>
              <w:left w:val="nil"/>
              <w:bottom w:val="single" w:sz="4" w:space="0" w:color="auto"/>
              <w:right w:val="single" w:sz="4" w:space="0" w:color="auto"/>
            </w:tcBorders>
            <w:shd w:val="clear" w:color="000000" w:fill="FFFFFF"/>
            <w:vAlign w:val="center"/>
            <w:hideMark/>
          </w:tcPr>
          <w:p w:rsidR="007A7C61" w:rsidRPr="00737E4A" w:rsidRDefault="007A7C61" w:rsidP="00EE5B22">
            <w:pPr>
              <w:rPr>
                <w:rFonts w:ascii="Calibri" w:hAnsi="Calibri" w:cs="Arial"/>
                <w:color w:val="000000"/>
                <w:sz w:val="22"/>
                <w:szCs w:val="22"/>
                <w:lang w:eastAsia="pl-PL"/>
              </w:rPr>
            </w:pPr>
            <w:r w:rsidRPr="00737E4A">
              <w:rPr>
                <w:rFonts w:ascii="Calibri" w:hAnsi="Calibri" w:cs="Arial"/>
                <w:color w:val="000000"/>
                <w:sz w:val="22"/>
                <w:szCs w:val="22"/>
                <w:lang w:eastAsia="pl-PL"/>
              </w:rPr>
              <w:t>Wyposażenie do produkcji leków:</w:t>
            </w:r>
          </w:p>
        </w:tc>
      </w:tr>
      <w:tr w:rsidR="007A7C61" w:rsidRPr="00737E4A" w:rsidTr="00EE5B22">
        <w:trPr>
          <w:trHeight w:val="12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1.1</w:t>
            </w:r>
          </w:p>
        </w:tc>
        <w:tc>
          <w:tcPr>
            <w:tcW w:w="8127" w:type="dxa"/>
            <w:tcBorders>
              <w:top w:val="nil"/>
              <w:left w:val="nil"/>
              <w:bottom w:val="single" w:sz="4" w:space="0" w:color="auto"/>
              <w:right w:val="single" w:sz="4" w:space="0" w:color="auto"/>
            </w:tcBorders>
            <w:shd w:val="clear" w:color="auto" w:fill="auto"/>
            <w:vAlign w:val="bottom"/>
            <w:hideMark/>
          </w:tcPr>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br/>
              <w:t xml:space="preserve">Urządzenie do automatycznego przygotowywania  </w:t>
            </w:r>
            <w:proofErr w:type="spellStart"/>
            <w:r w:rsidRPr="00737E4A">
              <w:rPr>
                <w:rFonts w:ascii="Calibri" w:hAnsi="Calibri" w:cs="Arial"/>
                <w:sz w:val="22"/>
                <w:szCs w:val="22"/>
                <w:lang w:eastAsia="pl-PL"/>
              </w:rPr>
              <w:t>cytostatyków</w:t>
            </w:r>
            <w:proofErr w:type="spellEnd"/>
            <w:r w:rsidRPr="00737E4A">
              <w:rPr>
                <w:rFonts w:ascii="Calibri" w:hAnsi="Calibri" w:cs="Arial"/>
                <w:sz w:val="22"/>
                <w:szCs w:val="22"/>
                <w:lang w:eastAsia="pl-PL"/>
              </w:rPr>
              <w:t xml:space="preserve"> i  leków  podawanych dożylnie kontrolowane oprogramowaniem.</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Sterowanie funkcjami urządzenia zdalnie z komputera lub poprzez panel sterowania wyposażony w klawiaturę i ekran LCD lub ekran dotykowy</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Minimum 2 tryby działania</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 xml:space="preserve">Zwiększona sterylność wraz z zastosowaniem jednorazowych torebek </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Możliwość napełnienia dowolnego pustego lub częściowo zużytego pojemnika  (torebki, strzykawki, pompy elastomerowe, kasety itp.)</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Urządzenie dostosowane do różnych  pojemników końcowych (fiolki, torebki, butelki).</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Dokładność i precyzja przygotowywanych terapii dzięki pompie wolumetrycznej</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Możliwość śledzenia przygotowanych dawek</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Przygotowanie leku z wybranymi rozpuszczalnikami</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lastRenderedPageBreak/>
              <w:t>Przygotowanie dawek o pojemności  od  2 ml do 3000ml</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Prędkość aspiracji w zakresie od 1ml/s  do 10ml/s</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Ciśnienie napełniania w zakresie od 500mbar do 4000mbar.</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 xml:space="preserve">Weryfikacja spójności  filtra 0,2 </w:t>
            </w:r>
            <w:proofErr w:type="spellStart"/>
            <w:r w:rsidRPr="00737E4A">
              <w:rPr>
                <w:rFonts w:ascii="Calibri" w:hAnsi="Calibri" w:cs="Arial"/>
                <w:sz w:val="22"/>
                <w:szCs w:val="22"/>
                <w:lang w:eastAsia="pl-PL"/>
              </w:rPr>
              <w:t>μm</w:t>
            </w:r>
            <w:proofErr w:type="spellEnd"/>
            <w:r w:rsidRPr="00737E4A">
              <w:rPr>
                <w:rFonts w:ascii="Calibri" w:hAnsi="Calibri" w:cs="Arial"/>
                <w:sz w:val="22"/>
                <w:szCs w:val="22"/>
                <w:lang w:eastAsia="pl-PL"/>
              </w:rPr>
              <w:t>, (jeśli pojemnik końcowy go posiada)</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Intuicyjne oprogramowanie z możliwością integracji z system HIS</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Indywidualne etykietowanie</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Wymiary urządzenia:  142 x 450,5 x 215,5 mm (</w:t>
            </w:r>
            <w:proofErr w:type="spellStart"/>
            <w:r w:rsidRPr="00737E4A">
              <w:rPr>
                <w:rFonts w:ascii="Calibri" w:hAnsi="Calibri" w:cs="Arial"/>
                <w:sz w:val="22"/>
                <w:szCs w:val="22"/>
                <w:lang w:eastAsia="pl-PL"/>
              </w:rPr>
              <w:t>sz</w:t>
            </w:r>
            <w:proofErr w:type="spellEnd"/>
            <w:r w:rsidRPr="00737E4A">
              <w:rPr>
                <w:rFonts w:ascii="Calibri" w:hAnsi="Calibri" w:cs="Arial"/>
                <w:sz w:val="22"/>
                <w:szCs w:val="22"/>
                <w:lang w:eastAsia="pl-PL"/>
              </w:rPr>
              <w:t xml:space="preserve"> x wys. x gł.)</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Waga urządzenia: 8 kg (+/- 0,5 kg)</w:t>
            </w:r>
          </w:p>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 xml:space="preserve">Zasilanie: 100- 240V/50-60 </w:t>
            </w:r>
            <w:proofErr w:type="spellStart"/>
            <w:r w:rsidRPr="00737E4A">
              <w:rPr>
                <w:rFonts w:ascii="Calibri" w:hAnsi="Calibri" w:cs="Arial"/>
                <w:sz w:val="22"/>
                <w:szCs w:val="22"/>
                <w:lang w:eastAsia="pl-PL"/>
              </w:rPr>
              <w:t>Hz</w:t>
            </w:r>
            <w:proofErr w:type="spellEnd"/>
          </w:p>
        </w:tc>
      </w:tr>
      <w:tr w:rsidR="007A7C61" w:rsidRPr="00737E4A" w:rsidTr="007A7C61">
        <w:trPr>
          <w:trHeight w:val="40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lastRenderedPageBreak/>
              <w:t>1.2</w:t>
            </w:r>
          </w:p>
        </w:tc>
        <w:tc>
          <w:tcPr>
            <w:tcW w:w="8127" w:type="dxa"/>
            <w:tcBorders>
              <w:top w:val="nil"/>
              <w:left w:val="nil"/>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 xml:space="preserve">Drukarka </w:t>
            </w:r>
            <w:proofErr w:type="spellStart"/>
            <w:r w:rsidRPr="00737E4A">
              <w:rPr>
                <w:rFonts w:ascii="Calibri" w:hAnsi="Calibri" w:cs="Arial"/>
                <w:sz w:val="22"/>
                <w:szCs w:val="22"/>
                <w:lang w:eastAsia="pl-PL"/>
              </w:rPr>
              <w:t>termotransferowa</w:t>
            </w:r>
            <w:proofErr w:type="spellEnd"/>
            <w:r w:rsidRPr="00737E4A">
              <w:rPr>
                <w:rFonts w:ascii="Calibri" w:hAnsi="Calibri" w:cs="Arial"/>
                <w:sz w:val="22"/>
                <w:szCs w:val="22"/>
                <w:lang w:eastAsia="pl-PL"/>
              </w:rPr>
              <w:t xml:space="preserve"> do etykiet na przygotowany lek - 1 sztuka            </w:t>
            </w:r>
          </w:p>
        </w:tc>
      </w:tr>
      <w:tr w:rsidR="007A7C61" w:rsidRPr="00737E4A" w:rsidTr="007A7C61">
        <w:trPr>
          <w:trHeight w:val="26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1.3</w:t>
            </w:r>
          </w:p>
        </w:tc>
        <w:tc>
          <w:tcPr>
            <w:tcW w:w="8127" w:type="dxa"/>
            <w:tcBorders>
              <w:top w:val="nil"/>
              <w:left w:val="nil"/>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Waga + Mini-klawiatura  do pracy w komorze laminarnej</w:t>
            </w:r>
          </w:p>
        </w:tc>
      </w:tr>
      <w:tr w:rsidR="007A7C61" w:rsidRPr="00737E4A" w:rsidTr="007A7C61">
        <w:trPr>
          <w:trHeight w:val="12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2</w:t>
            </w:r>
          </w:p>
        </w:tc>
        <w:tc>
          <w:tcPr>
            <w:tcW w:w="8127" w:type="dxa"/>
            <w:tcBorders>
              <w:top w:val="nil"/>
              <w:left w:val="nil"/>
              <w:bottom w:val="single" w:sz="4" w:space="0" w:color="auto"/>
              <w:right w:val="single" w:sz="4" w:space="0" w:color="auto"/>
            </w:tcBorders>
            <w:shd w:val="clear" w:color="auto" w:fill="auto"/>
            <w:hideMark/>
          </w:tcPr>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2. Licencje na oprogramowanie:</w:t>
            </w:r>
            <w:r w:rsidRPr="00737E4A">
              <w:rPr>
                <w:rFonts w:ascii="Calibri" w:hAnsi="Calibri" w:cs="Arial"/>
                <w:sz w:val="22"/>
                <w:szCs w:val="22"/>
                <w:lang w:eastAsia="pl-PL"/>
              </w:rPr>
              <w:br/>
              <w:t xml:space="preserve">2.1.  Licencja farmaceutyczna - 2 sztuki  </w:t>
            </w:r>
            <w:r w:rsidRPr="00737E4A">
              <w:rPr>
                <w:rFonts w:ascii="Calibri" w:hAnsi="Calibri" w:cs="Arial"/>
                <w:sz w:val="22"/>
                <w:szCs w:val="22"/>
                <w:lang w:eastAsia="pl-PL"/>
              </w:rPr>
              <w:br/>
              <w:t xml:space="preserve">2.2.  Licencja  zleceniowa – min. 5 </w:t>
            </w:r>
            <w:proofErr w:type="spellStart"/>
            <w:r w:rsidRPr="00737E4A">
              <w:rPr>
                <w:rFonts w:ascii="Calibri" w:hAnsi="Calibri" w:cs="Arial"/>
                <w:sz w:val="22"/>
                <w:szCs w:val="22"/>
                <w:lang w:eastAsia="pl-PL"/>
              </w:rPr>
              <w:t>szt</w:t>
            </w:r>
            <w:proofErr w:type="spellEnd"/>
            <w:r w:rsidRPr="00737E4A">
              <w:rPr>
                <w:rFonts w:ascii="Calibri" w:hAnsi="Calibri" w:cs="Arial"/>
                <w:sz w:val="22"/>
                <w:szCs w:val="22"/>
                <w:lang w:eastAsia="pl-PL"/>
              </w:rPr>
              <w:br/>
              <w:t>2.3.  Instalacja i szkolenie w zakresie obsługi programu</w:t>
            </w:r>
            <w:r w:rsidRPr="00737E4A">
              <w:rPr>
                <w:rFonts w:ascii="Calibri" w:hAnsi="Calibri" w:cs="Arial"/>
                <w:sz w:val="22"/>
                <w:szCs w:val="22"/>
                <w:lang w:eastAsia="pl-PL"/>
              </w:rPr>
              <w:br/>
              <w:t xml:space="preserve">2.4.  Możliwa integracja z systemami informatycznymi </w:t>
            </w:r>
            <w:proofErr w:type="spellStart"/>
            <w:r w:rsidRPr="00737E4A">
              <w:rPr>
                <w:rFonts w:ascii="Calibri" w:hAnsi="Calibri" w:cs="Arial"/>
                <w:sz w:val="22"/>
                <w:szCs w:val="22"/>
                <w:lang w:eastAsia="pl-PL"/>
              </w:rPr>
              <w:t>MSzW</w:t>
            </w:r>
            <w:proofErr w:type="spellEnd"/>
            <w:r w:rsidRPr="00737E4A">
              <w:rPr>
                <w:rFonts w:ascii="Calibri" w:hAnsi="Calibri" w:cs="Arial"/>
                <w:sz w:val="22"/>
                <w:szCs w:val="22"/>
                <w:lang w:eastAsia="pl-PL"/>
              </w:rPr>
              <w:t xml:space="preserve"> - podać zakres</w:t>
            </w:r>
          </w:p>
        </w:tc>
      </w:tr>
      <w:tr w:rsidR="007A7C61" w:rsidRPr="00737E4A" w:rsidTr="007A7C61">
        <w:trPr>
          <w:trHeight w:val="349"/>
        </w:trPr>
        <w:tc>
          <w:tcPr>
            <w:tcW w:w="960" w:type="dxa"/>
            <w:tcBorders>
              <w:top w:val="nil"/>
              <w:left w:val="single" w:sz="4" w:space="0" w:color="auto"/>
              <w:bottom w:val="single" w:sz="4" w:space="0" w:color="auto"/>
              <w:right w:val="single" w:sz="4" w:space="0" w:color="auto"/>
            </w:tcBorders>
            <w:shd w:val="clear" w:color="auto" w:fill="auto"/>
            <w:noWrap/>
            <w:hideMark/>
          </w:tcPr>
          <w:p w:rsidR="007A7C61" w:rsidRPr="00737E4A" w:rsidRDefault="007A7C61" w:rsidP="007A7C61">
            <w:pPr>
              <w:rPr>
                <w:rFonts w:ascii="Calibri" w:hAnsi="Calibri" w:cs="Arial"/>
                <w:b/>
                <w:bCs/>
                <w:sz w:val="22"/>
                <w:szCs w:val="22"/>
                <w:lang w:eastAsia="pl-PL"/>
              </w:rPr>
            </w:pPr>
            <w:r w:rsidRPr="00737E4A">
              <w:rPr>
                <w:rFonts w:ascii="Calibri" w:hAnsi="Calibri" w:cs="Arial"/>
                <w:b/>
                <w:bCs/>
                <w:sz w:val="22"/>
                <w:szCs w:val="22"/>
                <w:lang w:eastAsia="pl-PL"/>
              </w:rPr>
              <w:t>3</w:t>
            </w:r>
          </w:p>
        </w:tc>
        <w:tc>
          <w:tcPr>
            <w:tcW w:w="8127" w:type="dxa"/>
            <w:tcBorders>
              <w:top w:val="nil"/>
              <w:left w:val="nil"/>
              <w:bottom w:val="single" w:sz="4" w:space="0" w:color="auto"/>
              <w:right w:val="single" w:sz="4" w:space="0" w:color="auto"/>
            </w:tcBorders>
            <w:shd w:val="clear" w:color="auto" w:fill="auto"/>
            <w:vAlign w:val="center"/>
            <w:hideMark/>
          </w:tcPr>
          <w:p w:rsidR="007A7C61" w:rsidRPr="00737E4A" w:rsidRDefault="007A7C61" w:rsidP="007A7C61">
            <w:pPr>
              <w:jc w:val="both"/>
              <w:rPr>
                <w:rFonts w:ascii="Calibri" w:hAnsi="Calibri" w:cs="Arial"/>
                <w:sz w:val="22"/>
                <w:szCs w:val="22"/>
                <w:lang w:eastAsia="pl-PL"/>
              </w:rPr>
            </w:pPr>
            <w:r w:rsidRPr="00737E4A">
              <w:rPr>
                <w:rFonts w:ascii="Calibri" w:hAnsi="Calibri" w:cs="Arial"/>
                <w:sz w:val="22"/>
                <w:szCs w:val="22"/>
                <w:lang w:eastAsia="pl-PL"/>
              </w:rPr>
              <w:t>Oprogramowanie umożliwia:</w:t>
            </w:r>
          </w:p>
        </w:tc>
      </w:tr>
      <w:tr w:rsidR="007A7C61" w:rsidRPr="00737E4A" w:rsidTr="007A7C61">
        <w:trPr>
          <w:trHeight w:val="26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3.1</w:t>
            </w:r>
          </w:p>
        </w:tc>
        <w:tc>
          <w:tcPr>
            <w:tcW w:w="8127" w:type="dxa"/>
            <w:tcBorders>
              <w:top w:val="nil"/>
              <w:left w:val="nil"/>
              <w:bottom w:val="single" w:sz="4" w:space="0" w:color="auto"/>
              <w:right w:val="single" w:sz="4" w:space="0" w:color="auto"/>
            </w:tcBorders>
            <w:shd w:val="clear" w:color="auto" w:fill="auto"/>
            <w:vAlign w:val="center"/>
            <w:hideMark/>
          </w:tcPr>
          <w:p w:rsidR="007A7C61" w:rsidRPr="00737E4A" w:rsidRDefault="007A7C61" w:rsidP="00EE5B22">
            <w:pPr>
              <w:jc w:val="both"/>
              <w:rPr>
                <w:rFonts w:ascii="Calibri" w:hAnsi="Calibri" w:cs="Arial"/>
                <w:sz w:val="22"/>
                <w:szCs w:val="22"/>
                <w:lang w:eastAsia="pl-PL"/>
              </w:rPr>
            </w:pPr>
            <w:r w:rsidRPr="00737E4A">
              <w:rPr>
                <w:rFonts w:ascii="Calibri" w:hAnsi="Calibri" w:cs="Arial"/>
                <w:sz w:val="22"/>
                <w:szCs w:val="22"/>
                <w:lang w:eastAsia="pl-PL"/>
              </w:rPr>
              <w:t>- zarządzanie danymi pacjentów – możliwość integracji z systemem szpitalnym;</w:t>
            </w:r>
          </w:p>
        </w:tc>
      </w:tr>
      <w:tr w:rsidR="007A7C61" w:rsidRPr="00737E4A" w:rsidTr="007A7C61">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3.2</w:t>
            </w:r>
          </w:p>
        </w:tc>
        <w:tc>
          <w:tcPr>
            <w:tcW w:w="8127" w:type="dxa"/>
            <w:tcBorders>
              <w:top w:val="nil"/>
              <w:left w:val="nil"/>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 xml:space="preserve">- automatyczne obliczania </w:t>
            </w:r>
          </w:p>
        </w:tc>
      </w:tr>
      <w:tr w:rsidR="007A7C61" w:rsidRPr="00737E4A" w:rsidTr="007A7C61">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3.3</w:t>
            </w:r>
          </w:p>
        </w:tc>
        <w:tc>
          <w:tcPr>
            <w:tcW w:w="8127" w:type="dxa"/>
            <w:tcBorders>
              <w:top w:val="nil"/>
              <w:left w:val="nil"/>
              <w:bottom w:val="single" w:sz="4" w:space="0" w:color="auto"/>
              <w:right w:val="single" w:sz="4" w:space="0" w:color="auto"/>
            </w:tcBorders>
            <w:shd w:val="clear" w:color="auto" w:fill="auto"/>
            <w:vAlign w:val="center"/>
            <w:hideMark/>
          </w:tcPr>
          <w:p w:rsidR="007A7C61" w:rsidRPr="00737E4A" w:rsidRDefault="007A7C61" w:rsidP="00EE5B22">
            <w:pPr>
              <w:jc w:val="both"/>
              <w:rPr>
                <w:rFonts w:ascii="Calibri" w:hAnsi="Calibri" w:cs="Arial"/>
                <w:sz w:val="22"/>
                <w:szCs w:val="22"/>
                <w:lang w:eastAsia="pl-PL"/>
              </w:rPr>
            </w:pPr>
            <w:r w:rsidRPr="00737E4A">
              <w:rPr>
                <w:rFonts w:ascii="Calibri" w:hAnsi="Calibri" w:cs="Arial"/>
                <w:sz w:val="22"/>
                <w:szCs w:val="22"/>
                <w:lang w:eastAsia="pl-PL"/>
              </w:rPr>
              <w:t xml:space="preserve">- automatyczne zliczanie dawek leków </w:t>
            </w:r>
          </w:p>
        </w:tc>
      </w:tr>
      <w:tr w:rsidR="007A7C61" w:rsidRPr="00737E4A" w:rsidTr="007A7C61">
        <w:trPr>
          <w:trHeight w:val="281"/>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3.4</w:t>
            </w:r>
          </w:p>
        </w:tc>
        <w:tc>
          <w:tcPr>
            <w:tcW w:w="8127" w:type="dxa"/>
            <w:tcBorders>
              <w:top w:val="nil"/>
              <w:left w:val="nil"/>
              <w:bottom w:val="single" w:sz="4" w:space="0" w:color="auto"/>
              <w:right w:val="single" w:sz="4" w:space="0" w:color="auto"/>
            </w:tcBorders>
            <w:shd w:val="clear" w:color="auto" w:fill="auto"/>
            <w:vAlign w:val="center"/>
            <w:hideMark/>
          </w:tcPr>
          <w:p w:rsidR="007A7C61" w:rsidRPr="00737E4A" w:rsidRDefault="007A7C61" w:rsidP="00EE5B22">
            <w:pPr>
              <w:jc w:val="both"/>
              <w:rPr>
                <w:rFonts w:ascii="Calibri" w:hAnsi="Calibri" w:cs="Arial"/>
                <w:sz w:val="22"/>
                <w:szCs w:val="22"/>
                <w:lang w:eastAsia="pl-PL"/>
              </w:rPr>
            </w:pPr>
            <w:r w:rsidRPr="00737E4A">
              <w:rPr>
                <w:rFonts w:ascii="Calibri" w:hAnsi="Calibri" w:cs="Arial"/>
                <w:sz w:val="22"/>
                <w:szCs w:val="22"/>
                <w:lang w:eastAsia="pl-PL"/>
              </w:rPr>
              <w:t>- produkcję wolumetryczną i grawimetryczną;</w:t>
            </w:r>
          </w:p>
        </w:tc>
      </w:tr>
      <w:tr w:rsidR="007A7C61" w:rsidRPr="00737E4A" w:rsidTr="007A7C61">
        <w:trPr>
          <w:trHeight w:val="27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3.5</w:t>
            </w:r>
          </w:p>
        </w:tc>
        <w:tc>
          <w:tcPr>
            <w:tcW w:w="8127" w:type="dxa"/>
            <w:tcBorders>
              <w:top w:val="nil"/>
              <w:left w:val="nil"/>
              <w:bottom w:val="single" w:sz="4" w:space="0" w:color="auto"/>
              <w:right w:val="single" w:sz="4" w:space="0" w:color="auto"/>
            </w:tcBorders>
            <w:shd w:val="clear" w:color="auto" w:fill="auto"/>
            <w:vAlign w:val="center"/>
            <w:hideMark/>
          </w:tcPr>
          <w:p w:rsidR="007A7C61" w:rsidRPr="00737E4A" w:rsidRDefault="007A7C61" w:rsidP="00EE5B22">
            <w:pPr>
              <w:jc w:val="both"/>
              <w:rPr>
                <w:rFonts w:ascii="Calibri" w:hAnsi="Calibri" w:cs="Arial"/>
                <w:sz w:val="22"/>
                <w:szCs w:val="22"/>
                <w:lang w:eastAsia="pl-PL"/>
              </w:rPr>
            </w:pPr>
            <w:r w:rsidRPr="00737E4A">
              <w:rPr>
                <w:rFonts w:ascii="Calibri" w:hAnsi="Calibri" w:cs="Arial"/>
                <w:sz w:val="22"/>
                <w:szCs w:val="22"/>
                <w:lang w:eastAsia="pl-PL"/>
              </w:rPr>
              <w:t>- po zakończeniu produkcji danego preparatu, wydruk etykiety leku</w:t>
            </w:r>
          </w:p>
        </w:tc>
      </w:tr>
      <w:tr w:rsidR="007A7C61" w:rsidRPr="00737E4A" w:rsidTr="007A7C61">
        <w:trPr>
          <w:trHeight w:val="1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4</w:t>
            </w:r>
          </w:p>
        </w:tc>
        <w:tc>
          <w:tcPr>
            <w:tcW w:w="8127" w:type="dxa"/>
            <w:tcBorders>
              <w:top w:val="nil"/>
              <w:left w:val="nil"/>
              <w:bottom w:val="single" w:sz="4" w:space="0" w:color="auto"/>
              <w:right w:val="single" w:sz="4" w:space="0" w:color="auto"/>
            </w:tcBorders>
            <w:shd w:val="clear" w:color="auto" w:fill="auto"/>
            <w:hideMark/>
          </w:tcPr>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4. Sprzęt komputerowy:</w:t>
            </w:r>
            <w:r w:rsidRPr="00737E4A">
              <w:rPr>
                <w:rFonts w:ascii="Calibri" w:hAnsi="Calibri" w:cs="Arial"/>
                <w:sz w:val="22"/>
                <w:szCs w:val="22"/>
                <w:lang w:eastAsia="pl-PL"/>
              </w:rPr>
              <w:br w:type="page"/>
              <w:t>4.1.  Stacja robocza - komputer obsługujący komorę laminarną  - 1sztuka</w:t>
            </w:r>
            <w:r w:rsidRPr="00737E4A">
              <w:rPr>
                <w:rFonts w:ascii="Calibri" w:hAnsi="Calibri" w:cs="Arial"/>
                <w:sz w:val="22"/>
                <w:szCs w:val="22"/>
                <w:lang w:eastAsia="pl-PL"/>
              </w:rPr>
              <w:br w:type="page"/>
              <w:t xml:space="preserve">4.2.  Stacja robocza  - komputer obsługujący stanowisko administracyjne - 1 sztuka </w:t>
            </w:r>
            <w:r w:rsidRPr="00737E4A">
              <w:rPr>
                <w:rFonts w:ascii="Calibri" w:hAnsi="Calibri" w:cs="Arial"/>
                <w:sz w:val="22"/>
                <w:szCs w:val="22"/>
                <w:lang w:eastAsia="pl-PL"/>
              </w:rPr>
              <w:br w:type="page"/>
              <w:t xml:space="preserve">4.3.  Samodzielny serwer oprogramowania do produkcji </w:t>
            </w:r>
            <w:proofErr w:type="spellStart"/>
            <w:r w:rsidRPr="00737E4A">
              <w:rPr>
                <w:rFonts w:ascii="Calibri" w:hAnsi="Calibri" w:cs="Arial"/>
                <w:sz w:val="22"/>
                <w:szCs w:val="22"/>
                <w:lang w:eastAsia="pl-PL"/>
              </w:rPr>
              <w:t>cytostatyków</w:t>
            </w:r>
            <w:proofErr w:type="spellEnd"/>
            <w:r w:rsidRPr="00737E4A">
              <w:rPr>
                <w:rFonts w:ascii="Calibri" w:hAnsi="Calibri" w:cs="Arial"/>
                <w:sz w:val="22"/>
                <w:szCs w:val="22"/>
                <w:lang w:eastAsia="pl-PL"/>
              </w:rPr>
              <w:t xml:space="preserve"> </w:t>
            </w:r>
            <w:r w:rsidRPr="00737E4A">
              <w:rPr>
                <w:rFonts w:ascii="Calibri" w:hAnsi="Calibri" w:cs="Arial"/>
                <w:sz w:val="22"/>
                <w:szCs w:val="22"/>
                <w:lang w:eastAsia="pl-PL"/>
              </w:rPr>
              <w:br w:type="page"/>
              <w:t xml:space="preserve">4.4.  Stacje robocze – komputery obsługujące stanowiska zleceniowe </w:t>
            </w:r>
            <w:r w:rsidRPr="00737E4A">
              <w:rPr>
                <w:rFonts w:ascii="Calibri" w:hAnsi="Calibri" w:cs="Arial"/>
                <w:sz w:val="22"/>
                <w:szCs w:val="22"/>
                <w:lang w:eastAsia="pl-PL"/>
              </w:rPr>
              <w:br w:type="page"/>
              <w:t>4.5.  Drukarka laserowa (stanowisko administracyjne)  - 1 sztuka</w:t>
            </w:r>
          </w:p>
        </w:tc>
      </w:tr>
      <w:tr w:rsidR="007A7C61" w:rsidRPr="00737E4A" w:rsidTr="007A7C61">
        <w:trPr>
          <w:trHeight w:val="33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5</w:t>
            </w:r>
          </w:p>
        </w:tc>
        <w:tc>
          <w:tcPr>
            <w:tcW w:w="8127" w:type="dxa"/>
            <w:tcBorders>
              <w:top w:val="nil"/>
              <w:left w:val="nil"/>
              <w:bottom w:val="single" w:sz="4" w:space="0" w:color="auto"/>
              <w:right w:val="single" w:sz="4" w:space="0" w:color="auto"/>
            </w:tcBorders>
            <w:shd w:val="clear" w:color="auto" w:fill="auto"/>
            <w:noWrap/>
            <w:vAlign w:val="center"/>
            <w:hideMark/>
          </w:tcPr>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Sprzęt zwiększający bezpieczeństwo pracy :</w:t>
            </w:r>
          </w:p>
        </w:tc>
      </w:tr>
      <w:tr w:rsidR="007A7C61" w:rsidRPr="00737E4A" w:rsidTr="007A7C61">
        <w:trPr>
          <w:trHeight w:val="81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5.1</w:t>
            </w:r>
          </w:p>
        </w:tc>
        <w:tc>
          <w:tcPr>
            <w:tcW w:w="8127" w:type="dxa"/>
            <w:tcBorders>
              <w:top w:val="nil"/>
              <w:left w:val="nil"/>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Urządzenie do szczelnego zgrzewania odpadów cytostatycznych – bezkontaktowe, nieemisyjne zgrzewanie odpadów w dedykowanym rękawie foliowym , zasilanie akumulatorowe, sterowanie nożne, obudowa z blachy nierdzewnej .</w:t>
            </w:r>
          </w:p>
        </w:tc>
      </w:tr>
      <w:tr w:rsidR="007A7C61" w:rsidRPr="00737E4A" w:rsidTr="00EE5B22">
        <w:trPr>
          <w:trHeight w:val="14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7C61" w:rsidRPr="00737E4A" w:rsidRDefault="007A7C61" w:rsidP="00EE5B22">
            <w:pPr>
              <w:jc w:val="center"/>
              <w:rPr>
                <w:rFonts w:ascii="Calibri" w:hAnsi="Calibri" w:cs="Arial"/>
                <w:b/>
                <w:bCs/>
                <w:color w:val="000000" w:themeColor="text1"/>
                <w:sz w:val="22"/>
                <w:szCs w:val="22"/>
                <w:lang w:eastAsia="pl-PL"/>
              </w:rPr>
            </w:pPr>
            <w:r w:rsidRPr="00737E4A">
              <w:rPr>
                <w:rFonts w:ascii="Calibri" w:hAnsi="Calibri" w:cs="Arial"/>
                <w:b/>
                <w:bCs/>
                <w:color w:val="000000" w:themeColor="text1"/>
                <w:sz w:val="22"/>
                <w:szCs w:val="22"/>
                <w:lang w:eastAsia="pl-PL"/>
              </w:rPr>
              <w:t>5.2</w:t>
            </w:r>
          </w:p>
        </w:tc>
        <w:tc>
          <w:tcPr>
            <w:tcW w:w="8127" w:type="dxa"/>
            <w:tcBorders>
              <w:top w:val="nil"/>
              <w:left w:val="nil"/>
              <w:bottom w:val="single" w:sz="4" w:space="0" w:color="auto"/>
              <w:right w:val="single" w:sz="4" w:space="0" w:color="auto"/>
            </w:tcBorders>
            <w:shd w:val="clear" w:color="auto" w:fill="auto"/>
            <w:vAlign w:val="bottom"/>
            <w:hideMark/>
          </w:tcPr>
          <w:p w:rsidR="007A7C61" w:rsidRPr="00737E4A" w:rsidRDefault="007A7C61" w:rsidP="007A7C61">
            <w:pPr>
              <w:numPr>
                <w:ilvl w:val="0"/>
                <w:numId w:val="37"/>
              </w:numPr>
              <w:shd w:val="clear" w:color="auto" w:fill="FFFFFF"/>
              <w:suppressAutoHyphens w:val="0"/>
              <w:ind w:left="0"/>
              <w:textAlignment w:val="baseline"/>
              <w:rPr>
                <w:rFonts w:ascii="Calibri" w:hAnsi="Calibri" w:cs="Arial"/>
                <w:color w:val="000000" w:themeColor="text1"/>
                <w:sz w:val="22"/>
                <w:szCs w:val="22"/>
                <w:lang w:eastAsia="pl-PL"/>
              </w:rPr>
            </w:pPr>
            <w:r w:rsidRPr="00737E4A">
              <w:rPr>
                <w:rFonts w:ascii="Calibri" w:hAnsi="Calibri" w:cs="Arial"/>
                <w:color w:val="000000" w:themeColor="text1"/>
                <w:sz w:val="22"/>
                <w:szCs w:val="22"/>
                <w:bdr w:val="none" w:sz="0" w:space="0" w:color="auto" w:frame="1"/>
                <w:lang w:eastAsia="pl-PL"/>
              </w:rPr>
              <w:t>Urządzenie wykonane ze stali nierdzewnej 316 o grubości 3 mm.</w:t>
            </w:r>
          </w:p>
          <w:p w:rsidR="007A7C61" w:rsidRPr="00737E4A" w:rsidRDefault="007A7C61" w:rsidP="007A7C61">
            <w:pPr>
              <w:numPr>
                <w:ilvl w:val="0"/>
                <w:numId w:val="37"/>
              </w:numPr>
              <w:shd w:val="clear" w:color="auto" w:fill="FFFFFF"/>
              <w:suppressAutoHyphens w:val="0"/>
              <w:ind w:left="0"/>
              <w:textAlignment w:val="baseline"/>
              <w:rPr>
                <w:rFonts w:ascii="Calibri" w:hAnsi="Calibri" w:cs="Arial"/>
                <w:color w:val="000000" w:themeColor="text1"/>
                <w:sz w:val="22"/>
                <w:szCs w:val="22"/>
                <w:lang w:eastAsia="pl-PL"/>
              </w:rPr>
            </w:pPr>
            <w:r w:rsidRPr="00737E4A">
              <w:rPr>
                <w:rFonts w:ascii="Calibri" w:hAnsi="Calibri" w:cs="Arial"/>
                <w:color w:val="000000" w:themeColor="text1"/>
                <w:sz w:val="22"/>
                <w:szCs w:val="22"/>
                <w:bdr w:val="none" w:sz="0" w:space="0" w:color="auto" w:frame="1"/>
                <w:lang w:eastAsia="pl-PL"/>
              </w:rPr>
              <w:t>Zapewnienie środowiska klasy A (klasa 100) w każdym module.</w:t>
            </w:r>
          </w:p>
          <w:p w:rsidR="007A7C61" w:rsidRPr="00737E4A" w:rsidRDefault="007A7C61" w:rsidP="007A7C61">
            <w:pPr>
              <w:numPr>
                <w:ilvl w:val="0"/>
                <w:numId w:val="37"/>
              </w:numPr>
              <w:shd w:val="clear" w:color="auto" w:fill="FFFFFF"/>
              <w:suppressAutoHyphens w:val="0"/>
              <w:ind w:left="0"/>
              <w:textAlignment w:val="baseline"/>
              <w:rPr>
                <w:rFonts w:ascii="Calibri" w:hAnsi="Calibri" w:cs="Arial"/>
                <w:color w:val="000000" w:themeColor="text1"/>
                <w:sz w:val="22"/>
                <w:szCs w:val="22"/>
                <w:lang w:eastAsia="pl-PL"/>
              </w:rPr>
            </w:pPr>
            <w:r w:rsidRPr="00737E4A">
              <w:rPr>
                <w:rFonts w:ascii="Calibri" w:hAnsi="Calibri" w:cs="Arial"/>
                <w:color w:val="000000" w:themeColor="text1"/>
                <w:sz w:val="22"/>
                <w:szCs w:val="22"/>
                <w:bdr w:val="none" w:sz="0" w:space="0" w:color="auto" w:frame="1"/>
                <w:lang w:eastAsia="pl-PL"/>
              </w:rPr>
              <w:t>Dostępna jest opcja dodatnia lub ujemna, recyrkulacyjna lub zewnętrznie kanałowa.</w:t>
            </w:r>
          </w:p>
          <w:p w:rsidR="007A7C61" w:rsidRPr="00737E4A" w:rsidRDefault="007A7C61" w:rsidP="007A7C61">
            <w:pPr>
              <w:numPr>
                <w:ilvl w:val="0"/>
                <w:numId w:val="37"/>
              </w:numPr>
              <w:shd w:val="clear" w:color="auto" w:fill="FFFFFF"/>
              <w:suppressAutoHyphens w:val="0"/>
              <w:ind w:left="0"/>
              <w:textAlignment w:val="baseline"/>
              <w:rPr>
                <w:rFonts w:ascii="Calibri" w:hAnsi="Calibri" w:cs="Arial"/>
                <w:color w:val="000000" w:themeColor="text1"/>
                <w:sz w:val="22"/>
                <w:szCs w:val="22"/>
                <w:lang w:eastAsia="pl-PL"/>
              </w:rPr>
            </w:pPr>
            <w:r w:rsidRPr="00737E4A">
              <w:rPr>
                <w:rFonts w:ascii="Calibri" w:hAnsi="Calibri" w:cs="Arial"/>
                <w:color w:val="000000" w:themeColor="text1"/>
                <w:sz w:val="22"/>
                <w:szCs w:val="22"/>
                <w:bdr w:val="none" w:sz="0" w:space="0" w:color="auto" w:frame="1"/>
                <w:lang w:eastAsia="pl-PL"/>
              </w:rPr>
              <w:t>W pełni sprzężone komory przenoszące.</w:t>
            </w:r>
          </w:p>
          <w:p w:rsidR="007A7C61" w:rsidRPr="00737E4A" w:rsidRDefault="007A7C61" w:rsidP="007A7C61">
            <w:pPr>
              <w:numPr>
                <w:ilvl w:val="0"/>
                <w:numId w:val="37"/>
              </w:numPr>
              <w:shd w:val="clear" w:color="auto" w:fill="FFFFFF"/>
              <w:suppressAutoHyphens w:val="0"/>
              <w:ind w:left="0"/>
              <w:textAlignment w:val="baseline"/>
              <w:rPr>
                <w:rFonts w:ascii="Calibri" w:hAnsi="Calibri" w:cs="Arial"/>
                <w:color w:val="000000" w:themeColor="text1"/>
                <w:sz w:val="22"/>
                <w:szCs w:val="22"/>
                <w:lang w:eastAsia="pl-PL"/>
              </w:rPr>
            </w:pPr>
            <w:r w:rsidRPr="00737E4A">
              <w:rPr>
                <w:rFonts w:ascii="Calibri" w:hAnsi="Calibri" w:cs="Arial"/>
                <w:color w:val="000000" w:themeColor="text1"/>
                <w:sz w:val="22"/>
                <w:szCs w:val="22"/>
                <w:bdr w:val="none" w:sz="0" w:space="0" w:color="auto" w:frame="1"/>
                <w:lang w:eastAsia="pl-PL"/>
              </w:rPr>
              <w:t>Zewnętrzne powierzchnie ze stali nierdzewnej i tworzywa sztucznego dla łatwości czyszczenia i trwałości.</w:t>
            </w:r>
          </w:p>
          <w:p w:rsidR="007A7C61" w:rsidRPr="00737E4A" w:rsidRDefault="007A7C61" w:rsidP="007A7C61">
            <w:pPr>
              <w:numPr>
                <w:ilvl w:val="0"/>
                <w:numId w:val="37"/>
              </w:numPr>
              <w:shd w:val="clear" w:color="auto" w:fill="FFFFFF"/>
              <w:suppressAutoHyphens w:val="0"/>
              <w:ind w:left="0"/>
              <w:textAlignment w:val="baseline"/>
              <w:rPr>
                <w:rFonts w:ascii="Calibri" w:hAnsi="Calibri" w:cs="Arial"/>
                <w:color w:val="000000" w:themeColor="text1"/>
                <w:sz w:val="22"/>
                <w:szCs w:val="22"/>
                <w:lang w:eastAsia="pl-PL"/>
              </w:rPr>
            </w:pPr>
            <w:r w:rsidRPr="00737E4A">
              <w:rPr>
                <w:rFonts w:ascii="Calibri" w:hAnsi="Calibri" w:cs="Arial"/>
                <w:color w:val="000000" w:themeColor="text1"/>
                <w:sz w:val="22"/>
                <w:szCs w:val="22"/>
                <w:bdr w:val="none" w:sz="0" w:space="0" w:color="auto" w:frame="1"/>
                <w:lang w:eastAsia="pl-PL"/>
              </w:rPr>
              <w:t>Ergonomiczna konstrukcja z regulowaną na wysokość ramą podstawy, regulowanym podnóżkiem i 350 mm nieograniczoną przestrzenią na kolana.</w:t>
            </w:r>
          </w:p>
          <w:p w:rsidR="007A7C61" w:rsidRPr="00737E4A" w:rsidRDefault="007A7C61" w:rsidP="007A7C61">
            <w:pPr>
              <w:numPr>
                <w:ilvl w:val="0"/>
                <w:numId w:val="37"/>
              </w:numPr>
              <w:shd w:val="clear" w:color="auto" w:fill="FFFFFF"/>
              <w:suppressAutoHyphens w:val="0"/>
              <w:ind w:left="0"/>
              <w:textAlignment w:val="baseline"/>
              <w:rPr>
                <w:rFonts w:ascii="Calibri" w:hAnsi="Calibri" w:cs="Arial"/>
                <w:color w:val="000000" w:themeColor="text1"/>
                <w:sz w:val="22"/>
                <w:szCs w:val="22"/>
                <w:lang w:eastAsia="pl-PL"/>
              </w:rPr>
            </w:pPr>
            <w:r w:rsidRPr="00737E4A">
              <w:rPr>
                <w:rFonts w:ascii="Calibri" w:hAnsi="Calibri" w:cs="Arial"/>
                <w:color w:val="000000" w:themeColor="text1"/>
                <w:sz w:val="22"/>
                <w:szCs w:val="22"/>
                <w:bdr w:val="none" w:sz="0" w:space="0" w:color="auto" w:frame="1"/>
                <w:lang w:eastAsia="pl-PL"/>
              </w:rPr>
              <w:t>Kątowe komory transferowe ułatwiają załadunek i rozładunek produktu.</w:t>
            </w:r>
          </w:p>
          <w:p w:rsidR="007A7C61" w:rsidRPr="00737E4A" w:rsidRDefault="007A7C61" w:rsidP="007A7C61">
            <w:pPr>
              <w:numPr>
                <w:ilvl w:val="0"/>
                <w:numId w:val="37"/>
              </w:numPr>
              <w:shd w:val="clear" w:color="auto" w:fill="FFFFFF"/>
              <w:suppressAutoHyphens w:val="0"/>
              <w:ind w:left="0"/>
              <w:textAlignment w:val="baseline"/>
              <w:rPr>
                <w:rFonts w:ascii="Calibri" w:hAnsi="Calibri" w:cs="Arial"/>
                <w:color w:val="000000" w:themeColor="text1"/>
                <w:sz w:val="22"/>
                <w:szCs w:val="22"/>
                <w:lang w:eastAsia="pl-PL"/>
              </w:rPr>
            </w:pPr>
            <w:r w:rsidRPr="00737E4A">
              <w:rPr>
                <w:rFonts w:ascii="Calibri" w:hAnsi="Calibri" w:cs="Arial"/>
                <w:color w:val="000000" w:themeColor="text1"/>
                <w:sz w:val="22"/>
                <w:szCs w:val="22"/>
                <w:bdr w:val="none" w:sz="0" w:space="0" w:color="auto" w:frame="1"/>
                <w:lang w:eastAsia="pl-PL"/>
              </w:rPr>
              <w:t>Wszystkie powierzchnie wewnętrzne można uzyskać z portów rękawic.</w:t>
            </w:r>
          </w:p>
          <w:p w:rsidR="007A7C61" w:rsidRPr="00737E4A" w:rsidRDefault="007A7C61" w:rsidP="007A7C61">
            <w:pPr>
              <w:numPr>
                <w:ilvl w:val="0"/>
                <w:numId w:val="37"/>
              </w:numPr>
              <w:shd w:val="clear" w:color="auto" w:fill="FFFFFF"/>
              <w:suppressAutoHyphens w:val="0"/>
              <w:ind w:left="0"/>
              <w:textAlignment w:val="baseline"/>
              <w:rPr>
                <w:rFonts w:ascii="Calibri" w:hAnsi="Calibri" w:cs="Arial"/>
                <w:color w:val="000000" w:themeColor="text1"/>
                <w:sz w:val="22"/>
                <w:szCs w:val="22"/>
                <w:lang w:eastAsia="pl-PL"/>
              </w:rPr>
            </w:pPr>
            <w:r w:rsidRPr="00737E4A">
              <w:rPr>
                <w:rFonts w:ascii="Calibri" w:hAnsi="Calibri" w:cs="Arial"/>
                <w:color w:val="000000" w:themeColor="text1"/>
                <w:sz w:val="22"/>
                <w:szCs w:val="22"/>
                <w:bdr w:val="none" w:sz="0" w:space="0" w:color="auto" w:frame="1"/>
                <w:lang w:eastAsia="pl-PL"/>
              </w:rPr>
              <w:t>Cyfrowa centrala alarmowa z podtrzymaniem bateryjnym dla kluczowych funkcji.</w:t>
            </w:r>
          </w:p>
        </w:tc>
      </w:tr>
      <w:tr w:rsidR="007A7C61" w:rsidRPr="00737E4A" w:rsidTr="007A7C61">
        <w:trPr>
          <w:trHeight w:val="311"/>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6</w:t>
            </w:r>
          </w:p>
        </w:tc>
        <w:tc>
          <w:tcPr>
            <w:tcW w:w="8127" w:type="dxa"/>
            <w:tcBorders>
              <w:top w:val="single" w:sz="4" w:space="0" w:color="auto"/>
              <w:left w:val="nil"/>
              <w:bottom w:val="single" w:sz="4" w:space="0" w:color="auto"/>
              <w:right w:val="single" w:sz="4" w:space="0" w:color="auto"/>
            </w:tcBorders>
            <w:shd w:val="clear" w:color="000000" w:fill="B7DEE8"/>
            <w:vAlign w:val="bottom"/>
            <w:hideMark/>
          </w:tcPr>
          <w:p w:rsidR="007A7C61" w:rsidRPr="00737E4A" w:rsidRDefault="007A7C61" w:rsidP="00EE5B22">
            <w:pPr>
              <w:rPr>
                <w:rFonts w:ascii="Calibri" w:hAnsi="Calibri" w:cs="Arial"/>
                <w:b/>
                <w:bCs/>
                <w:sz w:val="22"/>
                <w:szCs w:val="22"/>
                <w:lang w:eastAsia="pl-PL"/>
              </w:rPr>
            </w:pPr>
            <w:r w:rsidRPr="00737E4A">
              <w:rPr>
                <w:rFonts w:ascii="Calibri" w:hAnsi="Calibri" w:cs="Arial"/>
                <w:b/>
                <w:bCs/>
                <w:sz w:val="22"/>
                <w:szCs w:val="22"/>
                <w:lang w:eastAsia="pl-PL"/>
              </w:rPr>
              <w:t xml:space="preserve"> Śluza materiałowa sterylna - 3 szt.  </w:t>
            </w:r>
          </w:p>
        </w:tc>
      </w:tr>
      <w:tr w:rsidR="007A7C61" w:rsidRPr="00737E4A" w:rsidTr="00EE5B22">
        <w:trPr>
          <w:trHeight w:val="255"/>
        </w:trPr>
        <w:tc>
          <w:tcPr>
            <w:tcW w:w="9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C61" w:rsidRPr="00737E4A" w:rsidRDefault="007A7C61" w:rsidP="00EE5B22">
            <w:pPr>
              <w:rPr>
                <w:rFonts w:ascii="Calibri" w:hAnsi="Calibri" w:cs="Arial"/>
                <w:b/>
                <w:bCs/>
                <w:sz w:val="22"/>
                <w:szCs w:val="22"/>
                <w:lang w:eastAsia="pl-PL"/>
              </w:rPr>
            </w:pPr>
            <w:r w:rsidRPr="00737E4A">
              <w:rPr>
                <w:rFonts w:ascii="Calibri" w:hAnsi="Calibri" w:cs="Arial"/>
                <w:b/>
                <w:bCs/>
                <w:sz w:val="22"/>
                <w:szCs w:val="22"/>
                <w:lang w:eastAsia="pl-PL"/>
              </w:rPr>
              <w:t>Nazwa</w:t>
            </w:r>
          </w:p>
        </w:tc>
      </w:tr>
      <w:tr w:rsidR="007A7C61" w:rsidRPr="00737E4A" w:rsidTr="00EE5B22">
        <w:trPr>
          <w:trHeight w:val="255"/>
        </w:trPr>
        <w:tc>
          <w:tcPr>
            <w:tcW w:w="9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C61" w:rsidRPr="00737E4A" w:rsidRDefault="007A7C61" w:rsidP="00EE5B22">
            <w:pPr>
              <w:rPr>
                <w:rFonts w:ascii="Calibri" w:hAnsi="Calibri" w:cs="Arial"/>
                <w:b/>
                <w:bCs/>
                <w:sz w:val="22"/>
                <w:szCs w:val="22"/>
                <w:lang w:eastAsia="pl-PL"/>
              </w:rPr>
            </w:pPr>
            <w:r w:rsidRPr="00737E4A">
              <w:rPr>
                <w:rFonts w:ascii="Calibri" w:hAnsi="Calibri" w:cs="Arial"/>
                <w:b/>
                <w:bCs/>
                <w:sz w:val="22"/>
                <w:szCs w:val="22"/>
                <w:lang w:eastAsia="pl-PL"/>
              </w:rPr>
              <w:t>Typ</w:t>
            </w:r>
          </w:p>
        </w:tc>
      </w:tr>
      <w:tr w:rsidR="007A7C61" w:rsidRPr="00737E4A" w:rsidTr="00EE5B22">
        <w:trPr>
          <w:trHeight w:val="263"/>
        </w:trPr>
        <w:tc>
          <w:tcPr>
            <w:tcW w:w="9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C61" w:rsidRPr="00737E4A" w:rsidRDefault="007A7C61" w:rsidP="00EE5B22">
            <w:pPr>
              <w:rPr>
                <w:rFonts w:ascii="Calibri" w:hAnsi="Calibri" w:cs="Arial"/>
                <w:b/>
                <w:bCs/>
                <w:sz w:val="22"/>
                <w:szCs w:val="22"/>
                <w:lang w:eastAsia="pl-PL"/>
              </w:rPr>
            </w:pPr>
            <w:r w:rsidRPr="00737E4A">
              <w:rPr>
                <w:rFonts w:ascii="Calibri" w:hAnsi="Calibri" w:cs="Arial"/>
                <w:b/>
                <w:bCs/>
                <w:sz w:val="22"/>
                <w:szCs w:val="22"/>
                <w:lang w:eastAsia="pl-PL"/>
              </w:rPr>
              <w:t>Wytwórca</w:t>
            </w:r>
          </w:p>
        </w:tc>
      </w:tr>
      <w:tr w:rsidR="007A7C61" w:rsidRPr="00737E4A" w:rsidTr="00EE5B22">
        <w:trPr>
          <w:trHeight w:val="263"/>
        </w:trPr>
        <w:tc>
          <w:tcPr>
            <w:tcW w:w="9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C61" w:rsidRPr="00737E4A" w:rsidRDefault="007A7C61" w:rsidP="00EE5B22">
            <w:pPr>
              <w:rPr>
                <w:rFonts w:ascii="Calibri" w:hAnsi="Calibri" w:cs="Arial"/>
                <w:b/>
                <w:bCs/>
                <w:sz w:val="22"/>
                <w:szCs w:val="22"/>
                <w:lang w:eastAsia="pl-PL"/>
              </w:rPr>
            </w:pPr>
            <w:r w:rsidRPr="00737E4A">
              <w:rPr>
                <w:rFonts w:ascii="Calibri" w:hAnsi="Calibri" w:cs="Arial"/>
                <w:b/>
                <w:bCs/>
                <w:sz w:val="22"/>
                <w:szCs w:val="22"/>
                <w:lang w:eastAsia="pl-PL"/>
              </w:rPr>
              <w:t>Kraj pochodzenia</w:t>
            </w:r>
          </w:p>
        </w:tc>
      </w:tr>
      <w:tr w:rsidR="007A7C61" w:rsidRPr="00737E4A" w:rsidTr="007A7C61">
        <w:trPr>
          <w:trHeight w:val="263"/>
        </w:trPr>
        <w:tc>
          <w:tcPr>
            <w:tcW w:w="9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C61" w:rsidRPr="00737E4A" w:rsidRDefault="007A7C61" w:rsidP="00EE5B22">
            <w:pPr>
              <w:rPr>
                <w:rFonts w:ascii="Calibri" w:hAnsi="Calibri" w:cs="Arial"/>
                <w:b/>
                <w:bCs/>
                <w:sz w:val="22"/>
                <w:szCs w:val="22"/>
                <w:lang w:eastAsia="pl-PL"/>
              </w:rPr>
            </w:pPr>
            <w:r w:rsidRPr="00737E4A">
              <w:rPr>
                <w:rFonts w:ascii="Calibri" w:hAnsi="Calibri" w:cs="Arial"/>
                <w:b/>
                <w:bCs/>
                <w:sz w:val="22"/>
                <w:szCs w:val="22"/>
                <w:lang w:eastAsia="pl-PL"/>
              </w:rPr>
              <w:t>Rok produkcji: 2018</w:t>
            </w:r>
          </w:p>
        </w:tc>
      </w:tr>
      <w:tr w:rsidR="007A7C61" w:rsidRPr="00737E4A" w:rsidTr="007A7C61">
        <w:trPr>
          <w:trHeight w:val="272"/>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7A7C61" w:rsidRPr="00737E4A" w:rsidRDefault="007A7C61" w:rsidP="007A7C61">
            <w:pPr>
              <w:rPr>
                <w:rFonts w:ascii="Calibri" w:hAnsi="Calibri" w:cs="Arial"/>
                <w:b/>
                <w:bCs/>
                <w:sz w:val="22"/>
                <w:szCs w:val="22"/>
                <w:lang w:eastAsia="pl-PL"/>
              </w:rPr>
            </w:pPr>
            <w:r w:rsidRPr="00737E4A">
              <w:rPr>
                <w:rFonts w:ascii="Calibri" w:hAnsi="Calibri" w:cs="Arial"/>
                <w:b/>
                <w:bCs/>
                <w:sz w:val="22"/>
                <w:szCs w:val="22"/>
                <w:lang w:eastAsia="pl-PL"/>
              </w:rPr>
              <w:t>Lp.</w:t>
            </w:r>
          </w:p>
        </w:tc>
        <w:tc>
          <w:tcPr>
            <w:tcW w:w="8127" w:type="dxa"/>
            <w:tcBorders>
              <w:top w:val="single" w:sz="4" w:space="0" w:color="auto"/>
              <w:left w:val="nil"/>
              <w:bottom w:val="single" w:sz="4" w:space="0" w:color="auto"/>
              <w:right w:val="single" w:sz="4" w:space="0" w:color="auto"/>
            </w:tcBorders>
            <w:shd w:val="clear" w:color="auto" w:fill="auto"/>
            <w:hideMark/>
          </w:tcPr>
          <w:p w:rsidR="007A7C61" w:rsidRPr="00737E4A" w:rsidRDefault="007A7C61" w:rsidP="007A7C61">
            <w:pPr>
              <w:rPr>
                <w:rFonts w:ascii="Calibri" w:hAnsi="Calibri" w:cs="Arial"/>
                <w:b/>
                <w:bCs/>
                <w:sz w:val="22"/>
                <w:szCs w:val="22"/>
                <w:lang w:eastAsia="pl-PL"/>
              </w:rPr>
            </w:pPr>
            <w:r w:rsidRPr="00737E4A">
              <w:rPr>
                <w:rFonts w:ascii="Calibri" w:hAnsi="Calibri" w:cs="Arial"/>
                <w:b/>
                <w:bCs/>
                <w:sz w:val="22"/>
                <w:szCs w:val="22"/>
                <w:lang w:eastAsia="pl-PL"/>
              </w:rPr>
              <w:t>Opis wymaganych parametrów technicznych</w:t>
            </w:r>
          </w:p>
        </w:tc>
      </w:tr>
      <w:tr w:rsidR="007A7C61" w:rsidRPr="00737E4A" w:rsidTr="007A7C61">
        <w:trPr>
          <w:trHeight w:val="13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A7C61" w:rsidRPr="00737E4A" w:rsidRDefault="007A7C61" w:rsidP="00EE5B22">
            <w:pPr>
              <w:jc w:val="center"/>
              <w:rPr>
                <w:rFonts w:ascii="Calibri" w:hAnsi="Calibri" w:cs="Arial"/>
                <w:sz w:val="22"/>
                <w:szCs w:val="22"/>
                <w:lang w:eastAsia="pl-PL"/>
              </w:rPr>
            </w:pPr>
            <w:r w:rsidRPr="00737E4A">
              <w:rPr>
                <w:rFonts w:ascii="Calibri" w:hAnsi="Calibri" w:cs="Arial"/>
                <w:sz w:val="22"/>
                <w:szCs w:val="22"/>
                <w:lang w:eastAsia="pl-PL"/>
              </w:rPr>
              <w:t>1</w:t>
            </w:r>
          </w:p>
        </w:tc>
        <w:tc>
          <w:tcPr>
            <w:tcW w:w="8127" w:type="dxa"/>
            <w:tcBorders>
              <w:top w:val="nil"/>
              <w:left w:val="nil"/>
              <w:bottom w:val="single" w:sz="4" w:space="0" w:color="auto"/>
              <w:right w:val="single" w:sz="4" w:space="0" w:color="auto"/>
            </w:tcBorders>
            <w:shd w:val="clear" w:color="000000" w:fill="FFFFFF"/>
            <w:vAlign w:val="center"/>
            <w:hideMark/>
          </w:tcPr>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Dwie pary drzwi naprzemiennie otwieranych</w:t>
            </w:r>
          </w:p>
        </w:tc>
      </w:tr>
      <w:tr w:rsidR="007A7C61" w:rsidRPr="00737E4A" w:rsidTr="007A7C61">
        <w:trPr>
          <w:trHeight w:val="257"/>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A7C61" w:rsidRPr="00737E4A" w:rsidRDefault="007A7C61" w:rsidP="00EE5B22">
            <w:pPr>
              <w:jc w:val="center"/>
              <w:rPr>
                <w:rFonts w:ascii="Calibri" w:hAnsi="Calibri" w:cs="Arial"/>
                <w:sz w:val="22"/>
                <w:szCs w:val="22"/>
                <w:lang w:eastAsia="pl-PL"/>
              </w:rPr>
            </w:pPr>
            <w:r w:rsidRPr="00737E4A">
              <w:rPr>
                <w:rFonts w:ascii="Calibri" w:hAnsi="Calibri" w:cs="Arial"/>
                <w:sz w:val="22"/>
                <w:szCs w:val="22"/>
                <w:lang w:eastAsia="pl-PL"/>
              </w:rPr>
              <w:lastRenderedPageBreak/>
              <w:t>2</w:t>
            </w:r>
          </w:p>
        </w:tc>
        <w:tc>
          <w:tcPr>
            <w:tcW w:w="8127" w:type="dxa"/>
            <w:tcBorders>
              <w:top w:val="nil"/>
              <w:left w:val="nil"/>
              <w:bottom w:val="single" w:sz="4" w:space="0" w:color="auto"/>
              <w:right w:val="single" w:sz="4" w:space="0" w:color="auto"/>
            </w:tcBorders>
            <w:shd w:val="clear" w:color="000000" w:fill="FFFFFF"/>
            <w:vAlign w:val="center"/>
            <w:hideMark/>
          </w:tcPr>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System blokad wewnętrznych i sygnałów ostrzegawczych wizualnych lub dźwiękowych powinien zabezpieczać przed możliwością otwarcia więcej niż jednych drzwi jednocześnie</w:t>
            </w:r>
          </w:p>
        </w:tc>
      </w:tr>
      <w:tr w:rsidR="007A7C61" w:rsidRPr="00737E4A" w:rsidTr="00EE5B22">
        <w:trPr>
          <w:trHeight w:val="37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A7C61" w:rsidRPr="00737E4A" w:rsidRDefault="007A7C61" w:rsidP="00EE5B22">
            <w:pPr>
              <w:jc w:val="center"/>
              <w:rPr>
                <w:rFonts w:ascii="Calibri" w:hAnsi="Calibri" w:cs="Arial"/>
                <w:sz w:val="22"/>
                <w:szCs w:val="22"/>
                <w:lang w:eastAsia="pl-PL"/>
              </w:rPr>
            </w:pPr>
            <w:r w:rsidRPr="00737E4A">
              <w:rPr>
                <w:rFonts w:ascii="Calibri" w:hAnsi="Calibri" w:cs="Arial"/>
                <w:sz w:val="22"/>
                <w:szCs w:val="22"/>
                <w:lang w:eastAsia="pl-PL"/>
              </w:rPr>
              <w:t>3</w:t>
            </w:r>
          </w:p>
        </w:tc>
        <w:tc>
          <w:tcPr>
            <w:tcW w:w="8127" w:type="dxa"/>
            <w:tcBorders>
              <w:top w:val="nil"/>
              <w:left w:val="nil"/>
              <w:bottom w:val="single" w:sz="4" w:space="0" w:color="auto"/>
              <w:right w:val="single" w:sz="4" w:space="0" w:color="auto"/>
            </w:tcBorders>
            <w:shd w:val="clear" w:color="000000" w:fill="FFFFFF"/>
            <w:vAlign w:val="center"/>
            <w:hideMark/>
          </w:tcPr>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Wymiary zewnętrzne 725x720x985mm +/-20mm</w:t>
            </w:r>
          </w:p>
        </w:tc>
      </w:tr>
      <w:tr w:rsidR="007A7C61" w:rsidRPr="00737E4A" w:rsidTr="00EE5B22">
        <w:trPr>
          <w:trHeight w:val="39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A7C61" w:rsidRPr="00737E4A" w:rsidRDefault="007A7C61" w:rsidP="00EE5B22">
            <w:pPr>
              <w:jc w:val="center"/>
              <w:rPr>
                <w:rFonts w:ascii="Calibri" w:hAnsi="Calibri" w:cs="Arial"/>
                <w:sz w:val="22"/>
                <w:szCs w:val="22"/>
                <w:lang w:eastAsia="pl-PL"/>
              </w:rPr>
            </w:pPr>
            <w:r w:rsidRPr="00737E4A">
              <w:rPr>
                <w:rFonts w:ascii="Calibri" w:hAnsi="Calibri" w:cs="Arial"/>
                <w:sz w:val="22"/>
                <w:szCs w:val="22"/>
                <w:lang w:eastAsia="pl-PL"/>
              </w:rPr>
              <w:t>4</w:t>
            </w:r>
          </w:p>
        </w:tc>
        <w:tc>
          <w:tcPr>
            <w:tcW w:w="8127" w:type="dxa"/>
            <w:tcBorders>
              <w:top w:val="nil"/>
              <w:left w:val="nil"/>
              <w:bottom w:val="single" w:sz="4" w:space="0" w:color="auto"/>
              <w:right w:val="single" w:sz="4" w:space="0" w:color="auto"/>
            </w:tcBorders>
            <w:shd w:val="clear" w:color="000000" w:fill="FFFFFF"/>
            <w:vAlign w:val="center"/>
            <w:hideMark/>
          </w:tcPr>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Materiał z którego wykonana jest śluza - stal nierdzewna</w:t>
            </w:r>
          </w:p>
        </w:tc>
      </w:tr>
      <w:tr w:rsidR="007A7C61" w:rsidRPr="00737E4A" w:rsidTr="00EE5B22">
        <w:trPr>
          <w:trHeight w:val="39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A7C61" w:rsidRPr="00737E4A" w:rsidRDefault="007A7C61" w:rsidP="00EE5B22">
            <w:pPr>
              <w:jc w:val="center"/>
              <w:rPr>
                <w:rFonts w:ascii="Calibri" w:hAnsi="Calibri" w:cs="Arial"/>
                <w:sz w:val="22"/>
                <w:szCs w:val="22"/>
                <w:lang w:eastAsia="pl-PL"/>
              </w:rPr>
            </w:pPr>
            <w:r w:rsidRPr="00737E4A">
              <w:rPr>
                <w:rFonts w:ascii="Calibri" w:hAnsi="Calibri" w:cs="Arial"/>
                <w:sz w:val="22"/>
                <w:szCs w:val="22"/>
                <w:lang w:eastAsia="pl-PL"/>
              </w:rPr>
              <w:t>5</w:t>
            </w:r>
          </w:p>
        </w:tc>
        <w:tc>
          <w:tcPr>
            <w:tcW w:w="8127" w:type="dxa"/>
            <w:tcBorders>
              <w:top w:val="nil"/>
              <w:left w:val="nil"/>
              <w:bottom w:val="single" w:sz="4" w:space="0" w:color="auto"/>
              <w:right w:val="single" w:sz="4" w:space="0" w:color="auto"/>
            </w:tcBorders>
            <w:shd w:val="clear" w:color="auto" w:fill="auto"/>
            <w:vAlign w:val="bottom"/>
            <w:hideMark/>
          </w:tcPr>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 xml:space="preserve">Montaż w pomieszczeniu pracowni </w:t>
            </w:r>
            <w:proofErr w:type="spellStart"/>
            <w:r w:rsidRPr="00737E4A">
              <w:rPr>
                <w:rFonts w:ascii="Calibri" w:hAnsi="Calibri" w:cs="Arial"/>
                <w:sz w:val="22"/>
                <w:szCs w:val="22"/>
                <w:lang w:eastAsia="pl-PL"/>
              </w:rPr>
              <w:t>cytostatyków</w:t>
            </w:r>
            <w:proofErr w:type="spellEnd"/>
          </w:p>
        </w:tc>
      </w:tr>
      <w:tr w:rsidR="007A7C61" w:rsidRPr="00737E4A" w:rsidTr="00EE5B22">
        <w:trPr>
          <w:trHeight w:val="420"/>
        </w:trPr>
        <w:tc>
          <w:tcPr>
            <w:tcW w:w="960" w:type="dxa"/>
            <w:tcBorders>
              <w:top w:val="nil"/>
              <w:left w:val="single" w:sz="4" w:space="0" w:color="auto"/>
              <w:bottom w:val="single" w:sz="4" w:space="0" w:color="auto"/>
              <w:right w:val="single" w:sz="4" w:space="0" w:color="auto"/>
            </w:tcBorders>
            <w:shd w:val="clear" w:color="000000" w:fill="FFFFFF"/>
            <w:vAlign w:val="center"/>
          </w:tcPr>
          <w:p w:rsidR="007A7C61" w:rsidRPr="00737E4A" w:rsidRDefault="007A7C61" w:rsidP="00EE5B22">
            <w:pPr>
              <w:jc w:val="center"/>
              <w:rPr>
                <w:rFonts w:ascii="Calibri" w:hAnsi="Calibri" w:cs="Arial"/>
                <w:sz w:val="22"/>
                <w:szCs w:val="22"/>
                <w:lang w:eastAsia="pl-PL"/>
              </w:rPr>
            </w:pPr>
            <w:r w:rsidRPr="00737E4A">
              <w:rPr>
                <w:rFonts w:ascii="Calibri" w:hAnsi="Calibri" w:cs="Arial"/>
                <w:sz w:val="22"/>
                <w:szCs w:val="22"/>
                <w:lang w:eastAsia="pl-PL"/>
              </w:rPr>
              <w:t>6</w:t>
            </w:r>
          </w:p>
        </w:tc>
        <w:tc>
          <w:tcPr>
            <w:tcW w:w="8127" w:type="dxa"/>
            <w:tcBorders>
              <w:top w:val="nil"/>
              <w:left w:val="nil"/>
              <w:bottom w:val="single" w:sz="4" w:space="0" w:color="auto"/>
              <w:right w:val="single" w:sz="4" w:space="0" w:color="auto"/>
            </w:tcBorders>
            <w:shd w:val="clear" w:color="auto" w:fill="auto"/>
            <w:vAlign w:val="bottom"/>
          </w:tcPr>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System automatycznej dezynfekcji UV</w:t>
            </w:r>
          </w:p>
        </w:tc>
      </w:tr>
      <w:tr w:rsidR="007A7C61" w:rsidRPr="00737E4A" w:rsidTr="00EE5B22">
        <w:trPr>
          <w:trHeight w:val="420"/>
        </w:trPr>
        <w:tc>
          <w:tcPr>
            <w:tcW w:w="960" w:type="dxa"/>
            <w:tcBorders>
              <w:top w:val="nil"/>
              <w:left w:val="single" w:sz="4" w:space="0" w:color="auto"/>
              <w:bottom w:val="single" w:sz="4" w:space="0" w:color="auto"/>
              <w:right w:val="single" w:sz="4" w:space="0" w:color="auto"/>
            </w:tcBorders>
            <w:shd w:val="clear" w:color="000000" w:fill="FFFFFF"/>
            <w:vAlign w:val="center"/>
          </w:tcPr>
          <w:p w:rsidR="007A7C61" w:rsidRPr="00737E4A" w:rsidRDefault="007A7C61" w:rsidP="00EE5B22">
            <w:pPr>
              <w:jc w:val="center"/>
              <w:rPr>
                <w:rFonts w:ascii="Calibri" w:hAnsi="Calibri" w:cs="Arial"/>
                <w:sz w:val="22"/>
                <w:szCs w:val="22"/>
                <w:lang w:eastAsia="pl-PL"/>
              </w:rPr>
            </w:pPr>
            <w:r w:rsidRPr="00737E4A">
              <w:rPr>
                <w:rFonts w:ascii="Calibri" w:hAnsi="Calibri" w:cs="Arial"/>
                <w:sz w:val="22"/>
                <w:szCs w:val="22"/>
                <w:lang w:eastAsia="pl-PL"/>
              </w:rPr>
              <w:t>7</w:t>
            </w:r>
          </w:p>
        </w:tc>
        <w:tc>
          <w:tcPr>
            <w:tcW w:w="8127" w:type="dxa"/>
            <w:tcBorders>
              <w:top w:val="nil"/>
              <w:left w:val="nil"/>
              <w:bottom w:val="single" w:sz="4" w:space="0" w:color="auto"/>
              <w:right w:val="single" w:sz="4" w:space="0" w:color="auto"/>
            </w:tcBorders>
            <w:shd w:val="clear" w:color="auto" w:fill="auto"/>
            <w:vAlign w:val="bottom"/>
          </w:tcPr>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System RCI</w:t>
            </w:r>
          </w:p>
        </w:tc>
      </w:tr>
      <w:tr w:rsidR="007A7C61" w:rsidRPr="00737E4A" w:rsidTr="00EE5B22">
        <w:trPr>
          <w:trHeight w:val="42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A7C61" w:rsidRPr="00737E4A" w:rsidRDefault="007A7C61" w:rsidP="00EE5B22">
            <w:pPr>
              <w:jc w:val="center"/>
              <w:rPr>
                <w:rFonts w:ascii="Calibri" w:hAnsi="Calibri" w:cs="Arial"/>
                <w:sz w:val="22"/>
                <w:szCs w:val="22"/>
                <w:lang w:eastAsia="pl-PL"/>
              </w:rPr>
            </w:pPr>
            <w:r w:rsidRPr="00737E4A">
              <w:rPr>
                <w:rFonts w:ascii="Calibri" w:hAnsi="Calibri" w:cs="Arial"/>
                <w:sz w:val="22"/>
                <w:szCs w:val="22"/>
                <w:lang w:eastAsia="pl-PL"/>
              </w:rPr>
              <w:t>8</w:t>
            </w:r>
          </w:p>
        </w:tc>
        <w:tc>
          <w:tcPr>
            <w:tcW w:w="8127" w:type="dxa"/>
            <w:tcBorders>
              <w:top w:val="nil"/>
              <w:left w:val="nil"/>
              <w:bottom w:val="single" w:sz="4" w:space="0" w:color="auto"/>
              <w:right w:val="single" w:sz="4" w:space="0" w:color="auto"/>
            </w:tcBorders>
            <w:shd w:val="clear" w:color="auto" w:fill="auto"/>
            <w:vAlign w:val="bottom"/>
            <w:hideMark/>
          </w:tcPr>
          <w:p w:rsidR="007A7C61" w:rsidRPr="00737E4A" w:rsidRDefault="007A7C61" w:rsidP="00EE5B22">
            <w:pPr>
              <w:rPr>
                <w:rFonts w:ascii="Calibri" w:hAnsi="Calibri" w:cs="Arial"/>
                <w:sz w:val="22"/>
                <w:szCs w:val="22"/>
                <w:lang w:eastAsia="pl-PL"/>
              </w:rPr>
            </w:pPr>
            <w:r w:rsidRPr="00737E4A">
              <w:rPr>
                <w:rFonts w:ascii="Calibri" w:hAnsi="Calibri" w:cs="Arial"/>
                <w:sz w:val="22"/>
                <w:szCs w:val="22"/>
                <w:lang w:eastAsia="pl-PL"/>
              </w:rPr>
              <w:t>Zasilanie 230V, 50Hz</w:t>
            </w:r>
          </w:p>
        </w:tc>
      </w:tr>
      <w:tr w:rsidR="007A7C61" w:rsidRPr="00737E4A" w:rsidTr="007A7C61">
        <w:trPr>
          <w:trHeight w:val="357"/>
        </w:trPr>
        <w:tc>
          <w:tcPr>
            <w:tcW w:w="960" w:type="dxa"/>
            <w:tcBorders>
              <w:top w:val="nil"/>
              <w:left w:val="single" w:sz="4" w:space="0" w:color="auto"/>
              <w:bottom w:val="single" w:sz="4" w:space="0" w:color="auto"/>
              <w:right w:val="single" w:sz="4" w:space="0" w:color="auto"/>
            </w:tcBorders>
            <w:shd w:val="clear" w:color="000000" w:fill="F2F2F2"/>
            <w:noWrap/>
            <w:vAlign w:val="bottom"/>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7</w:t>
            </w:r>
          </w:p>
        </w:tc>
        <w:tc>
          <w:tcPr>
            <w:tcW w:w="8127" w:type="dxa"/>
            <w:tcBorders>
              <w:top w:val="nil"/>
              <w:left w:val="nil"/>
              <w:bottom w:val="single" w:sz="4" w:space="0" w:color="auto"/>
              <w:right w:val="single" w:sz="4" w:space="0" w:color="auto"/>
            </w:tcBorders>
            <w:shd w:val="clear" w:color="000000" w:fill="F2F2F2"/>
            <w:vAlign w:val="bottom"/>
            <w:hideMark/>
          </w:tcPr>
          <w:p w:rsidR="007A7C61" w:rsidRPr="00737E4A" w:rsidRDefault="007A7C61" w:rsidP="00EE5B22">
            <w:pPr>
              <w:rPr>
                <w:rFonts w:ascii="Calibri" w:hAnsi="Calibri" w:cs="Arial"/>
                <w:b/>
                <w:bCs/>
                <w:sz w:val="22"/>
                <w:szCs w:val="22"/>
                <w:lang w:eastAsia="pl-PL"/>
              </w:rPr>
            </w:pPr>
            <w:r w:rsidRPr="00737E4A">
              <w:rPr>
                <w:rFonts w:ascii="Calibri" w:hAnsi="Calibri" w:cs="Arial"/>
                <w:b/>
                <w:bCs/>
                <w:sz w:val="22"/>
                <w:szCs w:val="22"/>
                <w:lang w:eastAsia="pl-PL"/>
              </w:rPr>
              <w:t xml:space="preserve"> Komora laminarna do pracy z </w:t>
            </w:r>
            <w:proofErr w:type="spellStart"/>
            <w:r w:rsidRPr="00737E4A">
              <w:rPr>
                <w:rFonts w:ascii="Calibri" w:hAnsi="Calibri" w:cs="Arial"/>
                <w:b/>
                <w:bCs/>
                <w:sz w:val="22"/>
                <w:szCs w:val="22"/>
                <w:lang w:eastAsia="pl-PL"/>
              </w:rPr>
              <w:t>cytotoksykami</w:t>
            </w:r>
            <w:proofErr w:type="spellEnd"/>
            <w:r w:rsidRPr="00737E4A">
              <w:rPr>
                <w:rFonts w:ascii="Calibri" w:hAnsi="Calibri" w:cs="Arial"/>
                <w:b/>
                <w:bCs/>
                <w:sz w:val="22"/>
                <w:szCs w:val="22"/>
                <w:lang w:eastAsia="pl-PL"/>
              </w:rPr>
              <w:t xml:space="preserve">    - 1 sztuka</w:t>
            </w:r>
          </w:p>
        </w:tc>
      </w:tr>
      <w:tr w:rsidR="007A7C61" w:rsidRPr="00737E4A" w:rsidTr="00EE5B22">
        <w:trPr>
          <w:trHeight w:val="255"/>
        </w:trPr>
        <w:tc>
          <w:tcPr>
            <w:tcW w:w="9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C61" w:rsidRPr="00737E4A" w:rsidRDefault="007A7C61" w:rsidP="00EE5B22">
            <w:pPr>
              <w:rPr>
                <w:rFonts w:ascii="Calibri" w:hAnsi="Calibri" w:cs="Arial"/>
                <w:b/>
                <w:bCs/>
                <w:sz w:val="22"/>
                <w:szCs w:val="22"/>
                <w:lang w:eastAsia="pl-PL"/>
              </w:rPr>
            </w:pPr>
            <w:r w:rsidRPr="00737E4A">
              <w:rPr>
                <w:rFonts w:ascii="Calibri" w:hAnsi="Calibri" w:cs="Arial"/>
                <w:b/>
                <w:bCs/>
                <w:sz w:val="22"/>
                <w:szCs w:val="22"/>
                <w:lang w:eastAsia="pl-PL"/>
              </w:rPr>
              <w:t>Nazwa</w:t>
            </w:r>
          </w:p>
        </w:tc>
      </w:tr>
      <w:tr w:rsidR="007A7C61" w:rsidRPr="00737E4A" w:rsidTr="00EE5B22">
        <w:trPr>
          <w:trHeight w:val="255"/>
        </w:trPr>
        <w:tc>
          <w:tcPr>
            <w:tcW w:w="9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C61" w:rsidRPr="00737E4A" w:rsidRDefault="007A7C61" w:rsidP="00EE5B22">
            <w:pPr>
              <w:rPr>
                <w:rFonts w:ascii="Calibri" w:hAnsi="Calibri" w:cs="Arial"/>
                <w:b/>
                <w:bCs/>
                <w:sz w:val="22"/>
                <w:szCs w:val="22"/>
                <w:lang w:eastAsia="pl-PL"/>
              </w:rPr>
            </w:pPr>
            <w:r w:rsidRPr="00737E4A">
              <w:rPr>
                <w:rFonts w:ascii="Calibri" w:hAnsi="Calibri" w:cs="Arial"/>
                <w:b/>
                <w:bCs/>
                <w:sz w:val="22"/>
                <w:szCs w:val="22"/>
                <w:lang w:eastAsia="pl-PL"/>
              </w:rPr>
              <w:t>Typ</w:t>
            </w:r>
          </w:p>
        </w:tc>
      </w:tr>
      <w:tr w:rsidR="007A7C61" w:rsidRPr="00737E4A" w:rsidTr="00EE5B22">
        <w:trPr>
          <w:trHeight w:val="300"/>
        </w:trPr>
        <w:tc>
          <w:tcPr>
            <w:tcW w:w="9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C61" w:rsidRPr="00737E4A" w:rsidRDefault="007A7C61" w:rsidP="00EE5B22">
            <w:pPr>
              <w:rPr>
                <w:rFonts w:ascii="Calibri" w:hAnsi="Calibri" w:cs="Arial"/>
                <w:b/>
                <w:bCs/>
                <w:sz w:val="22"/>
                <w:szCs w:val="22"/>
                <w:lang w:eastAsia="pl-PL"/>
              </w:rPr>
            </w:pPr>
            <w:r w:rsidRPr="00737E4A">
              <w:rPr>
                <w:rFonts w:ascii="Calibri" w:hAnsi="Calibri" w:cs="Arial"/>
                <w:b/>
                <w:bCs/>
                <w:sz w:val="22"/>
                <w:szCs w:val="22"/>
                <w:lang w:eastAsia="pl-PL"/>
              </w:rPr>
              <w:t>Wytwórca</w:t>
            </w:r>
          </w:p>
        </w:tc>
      </w:tr>
      <w:tr w:rsidR="007A7C61" w:rsidRPr="00737E4A" w:rsidTr="00EE5B22">
        <w:trPr>
          <w:trHeight w:val="300"/>
        </w:trPr>
        <w:tc>
          <w:tcPr>
            <w:tcW w:w="9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C61" w:rsidRPr="00737E4A" w:rsidRDefault="007A7C61" w:rsidP="00EE5B22">
            <w:pPr>
              <w:rPr>
                <w:rFonts w:ascii="Calibri" w:hAnsi="Calibri" w:cs="Arial"/>
                <w:b/>
                <w:bCs/>
                <w:sz w:val="22"/>
                <w:szCs w:val="22"/>
                <w:lang w:eastAsia="pl-PL"/>
              </w:rPr>
            </w:pPr>
            <w:r w:rsidRPr="00737E4A">
              <w:rPr>
                <w:rFonts w:ascii="Calibri" w:hAnsi="Calibri" w:cs="Arial"/>
                <w:b/>
                <w:bCs/>
                <w:sz w:val="22"/>
                <w:szCs w:val="22"/>
                <w:lang w:eastAsia="pl-PL"/>
              </w:rPr>
              <w:t>Kraj pochodzenia</w:t>
            </w:r>
          </w:p>
        </w:tc>
      </w:tr>
      <w:tr w:rsidR="007A7C61" w:rsidRPr="00737E4A" w:rsidTr="00EE5B22">
        <w:trPr>
          <w:trHeight w:val="300"/>
        </w:trPr>
        <w:tc>
          <w:tcPr>
            <w:tcW w:w="9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C61" w:rsidRPr="00737E4A" w:rsidRDefault="007A7C61" w:rsidP="00EE5B22">
            <w:pPr>
              <w:rPr>
                <w:rFonts w:ascii="Calibri" w:hAnsi="Calibri" w:cs="Arial"/>
                <w:b/>
                <w:bCs/>
                <w:sz w:val="22"/>
                <w:szCs w:val="22"/>
                <w:lang w:eastAsia="pl-PL"/>
              </w:rPr>
            </w:pPr>
            <w:r w:rsidRPr="00737E4A">
              <w:rPr>
                <w:rFonts w:ascii="Calibri" w:hAnsi="Calibri" w:cs="Arial"/>
                <w:b/>
                <w:bCs/>
                <w:sz w:val="22"/>
                <w:szCs w:val="22"/>
                <w:lang w:eastAsia="pl-PL"/>
              </w:rPr>
              <w:t>Rok produkcji: 2018</w:t>
            </w:r>
          </w:p>
        </w:tc>
      </w:tr>
      <w:tr w:rsidR="007A7C61" w:rsidRPr="00737E4A" w:rsidTr="00EE5B22">
        <w:trPr>
          <w:trHeight w:val="6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Lp.</w:t>
            </w:r>
          </w:p>
        </w:tc>
        <w:tc>
          <w:tcPr>
            <w:tcW w:w="8127" w:type="dxa"/>
            <w:tcBorders>
              <w:top w:val="nil"/>
              <w:left w:val="nil"/>
              <w:bottom w:val="single" w:sz="4" w:space="0" w:color="auto"/>
              <w:right w:val="single" w:sz="4" w:space="0" w:color="auto"/>
            </w:tcBorders>
            <w:shd w:val="clear" w:color="auto" w:fill="auto"/>
            <w:vAlign w:val="center"/>
            <w:hideMark/>
          </w:tcPr>
          <w:p w:rsidR="007A7C61" w:rsidRPr="00737E4A" w:rsidRDefault="007A7C61" w:rsidP="00EE5B22">
            <w:pPr>
              <w:jc w:val="center"/>
              <w:rPr>
                <w:rFonts w:ascii="Calibri" w:hAnsi="Calibri" w:cs="Arial"/>
                <w:b/>
                <w:bCs/>
                <w:sz w:val="22"/>
                <w:szCs w:val="22"/>
                <w:lang w:eastAsia="pl-PL"/>
              </w:rPr>
            </w:pPr>
            <w:r w:rsidRPr="00737E4A">
              <w:rPr>
                <w:rFonts w:ascii="Calibri" w:hAnsi="Calibri" w:cs="Arial"/>
                <w:b/>
                <w:bCs/>
                <w:sz w:val="22"/>
                <w:szCs w:val="22"/>
                <w:lang w:eastAsia="pl-PL"/>
              </w:rPr>
              <w:t>Opis wymaganych parametrów technicznych</w:t>
            </w:r>
          </w:p>
        </w:tc>
      </w:tr>
      <w:tr w:rsidR="007A7C61" w:rsidRPr="00737E4A" w:rsidTr="00EE5B22">
        <w:trPr>
          <w:trHeight w:val="375"/>
        </w:trPr>
        <w:tc>
          <w:tcPr>
            <w:tcW w:w="960" w:type="dxa"/>
            <w:tcBorders>
              <w:top w:val="nil"/>
              <w:left w:val="single" w:sz="4" w:space="0" w:color="auto"/>
              <w:bottom w:val="single" w:sz="4" w:space="0" w:color="auto"/>
              <w:right w:val="single" w:sz="4" w:space="0" w:color="auto"/>
            </w:tcBorders>
            <w:shd w:val="clear" w:color="auto" w:fill="auto"/>
            <w:vAlign w:val="center"/>
          </w:tcPr>
          <w:p w:rsidR="007A7C61" w:rsidRPr="00737E4A" w:rsidRDefault="007A7C61" w:rsidP="00EE5B22">
            <w:pPr>
              <w:jc w:val="center"/>
              <w:rPr>
                <w:rFonts w:ascii="Calibri" w:hAnsi="Calibri" w:cs="Arial"/>
                <w:sz w:val="22"/>
                <w:szCs w:val="22"/>
                <w:lang w:eastAsia="pl-PL"/>
              </w:rPr>
            </w:pPr>
            <w:r w:rsidRPr="00737E4A">
              <w:rPr>
                <w:rFonts w:ascii="Calibri" w:hAnsi="Calibri" w:cs="Arial"/>
                <w:sz w:val="22"/>
                <w:szCs w:val="22"/>
                <w:lang w:eastAsia="pl-PL"/>
              </w:rPr>
              <w:t>1</w:t>
            </w:r>
          </w:p>
        </w:tc>
        <w:tc>
          <w:tcPr>
            <w:tcW w:w="8127" w:type="dxa"/>
            <w:tcBorders>
              <w:top w:val="nil"/>
              <w:left w:val="nil"/>
              <w:bottom w:val="single" w:sz="4" w:space="0" w:color="auto"/>
              <w:right w:val="single" w:sz="4" w:space="0" w:color="auto"/>
            </w:tcBorders>
            <w:shd w:val="clear" w:color="auto" w:fill="auto"/>
            <w:vAlign w:val="center"/>
          </w:tcPr>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Urządzenie składające się ze zintegrowanych ze sobą komory dekontaminacyjnej i komory roboczej:</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 xml:space="preserve">Komora </w:t>
            </w:r>
            <w:proofErr w:type="spellStart"/>
            <w:r w:rsidRPr="00737E4A">
              <w:rPr>
                <w:rFonts w:ascii="Calibri" w:hAnsi="Calibri" w:cs="Arial"/>
                <w:bCs/>
                <w:sz w:val="22"/>
                <w:szCs w:val="22"/>
                <w:lang w:eastAsia="pl-PL"/>
              </w:rPr>
              <w:t>biodekontaminacyjna</w:t>
            </w:r>
            <w:proofErr w:type="spellEnd"/>
            <w:r w:rsidRPr="00737E4A">
              <w:rPr>
                <w:rFonts w:ascii="Calibri" w:hAnsi="Calibri" w:cs="Arial"/>
                <w:bCs/>
                <w:sz w:val="22"/>
                <w:szCs w:val="22"/>
                <w:lang w:eastAsia="pl-PL"/>
              </w:rPr>
              <w:t xml:space="preserve"> składająca się ze śluzy powietrznej z wbudowanym systemem dekontaminacji przy użyciu nadtlenku wodoru o następujących cechach:</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Identyfikacja opakowań z czynnikiem dekontaminującym przy pomocy znaczników RFID wraz z rejestracją co najmniej numeru serii, daty otwarcia opakowania i pozostałej ilości.</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 xml:space="preserve">Możliwość zaprogramowania min. 2 programów </w:t>
            </w:r>
            <w:proofErr w:type="spellStart"/>
            <w:r w:rsidRPr="00737E4A">
              <w:rPr>
                <w:rFonts w:ascii="Calibri" w:hAnsi="Calibri" w:cs="Arial"/>
                <w:bCs/>
                <w:sz w:val="22"/>
                <w:szCs w:val="22"/>
                <w:lang w:eastAsia="pl-PL"/>
              </w:rPr>
              <w:t>biodekontaminacji</w:t>
            </w:r>
            <w:proofErr w:type="spellEnd"/>
            <w:r w:rsidRPr="00737E4A">
              <w:rPr>
                <w:rFonts w:ascii="Calibri" w:hAnsi="Calibri" w:cs="Arial"/>
                <w:bCs/>
                <w:sz w:val="22"/>
                <w:szCs w:val="22"/>
                <w:lang w:eastAsia="pl-PL"/>
              </w:rPr>
              <w:t xml:space="preserve"> w zależności od ilości produktów umieszczonych w komorze</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System dekontaminacji działający na zasadzie gazowej dyfuzji 35% roztworu nadtlenku wodoru.</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Wydajność dekontaminacji śluzy pozwalająca na redukcję min. 6Log bakterii ATCC 7953 potwierdzona kwalifikacją</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Łączny czas programu dekontaminacji pozwalającego uzyskać w/w redukcję nie może przekroczyć 20min.</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Otwieranie wewnętrznych drzwi (komory dekontaminacyjnej i śluzy powietrznej do komory roboczej) po naciśnięciu przycisku.</w:t>
            </w:r>
          </w:p>
          <w:p w:rsidR="007A7C61"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 xml:space="preserve">Objętość śluzy w komorze </w:t>
            </w:r>
            <w:proofErr w:type="spellStart"/>
            <w:r w:rsidRPr="00737E4A">
              <w:rPr>
                <w:rFonts w:ascii="Calibri" w:hAnsi="Calibri" w:cs="Arial"/>
                <w:bCs/>
                <w:sz w:val="22"/>
                <w:szCs w:val="22"/>
                <w:lang w:eastAsia="pl-PL"/>
              </w:rPr>
              <w:t>biodekontaminacyjnej</w:t>
            </w:r>
            <w:proofErr w:type="spellEnd"/>
            <w:r w:rsidRPr="00737E4A">
              <w:rPr>
                <w:rFonts w:ascii="Calibri" w:hAnsi="Calibri" w:cs="Arial"/>
                <w:bCs/>
                <w:sz w:val="22"/>
                <w:szCs w:val="22"/>
                <w:lang w:eastAsia="pl-PL"/>
              </w:rPr>
              <w:t xml:space="preserve"> min. 65 litrów</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Automatycznie nadmuchiwane uszczelki o klasie od 1 do 4 zgodnie z ISO10648-2</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 xml:space="preserve">Zamknięcie z zabezpieczeniem typu </w:t>
            </w:r>
            <w:proofErr w:type="spellStart"/>
            <w:r w:rsidRPr="00737E4A">
              <w:rPr>
                <w:rFonts w:ascii="Calibri" w:hAnsi="Calibri" w:cs="Arial"/>
                <w:bCs/>
                <w:sz w:val="22"/>
                <w:szCs w:val="22"/>
                <w:lang w:eastAsia="pl-PL"/>
              </w:rPr>
              <w:t>interlock</w:t>
            </w:r>
            <w:proofErr w:type="spellEnd"/>
          </w:p>
          <w:p w:rsidR="007A7C61"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Wysuwany wieszak do umieszczenia koszyków z produktami</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Możliwość umieszczenia min. 6 koszyków z produktami</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Min. 2 odśrodkowe wentylatory filtracja HEPA H14 w obu kierunkach (góra i dół)</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Klasa czystości powietrza w komorze dekontaminacyjnej: nie gorsza niż ISO 5 zgodnie z ISO 14644-1</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Przepływ powietrza w czasie pracy: min. 50 m3/h</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Przepływ powietrza w czasie opłukiwania: min. 150 m3/h</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Wyraźne oznaczenie, np. za pomocą komunikatów graficznych lub koloru oświetlenia wskazujące status cyklu dekontaminacji</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 xml:space="preserve"> Komora robocza urządzenie o następujących cechach:</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Możliwość dekontaminacji komory roboczej poprzez gazową dyfuzję 35% roztworu nadtlenku wodoru</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lastRenderedPageBreak/>
              <w:t>Wydajność dekontaminacji komory roboczej pozwalająca na redukcję min. 6Log bakterii ATCC 7953 potwierdzona kwalifikacją.</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Łączny czas programu dekontaminacji pozwalającego na uzyskanie w/w redukcji nie może przekroczyć 190min.</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Kontrola stężenia pozostałości H2O2: 1ppm</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Sensor z alarmem badający stężenie H2O2 w pomieszczeniu</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Podnoszony przedni panel komory roboczej</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Szczelność komory nie gorsza niż od Klasy 2 do 4 zgodnie z ISO 10648-</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Nadmuchiwane silikonowe uszczelki przy włazach</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 xml:space="preserve">Zamki z zabezpieczeniem typu </w:t>
            </w:r>
            <w:proofErr w:type="spellStart"/>
            <w:r w:rsidRPr="00737E4A">
              <w:rPr>
                <w:rFonts w:ascii="Calibri" w:hAnsi="Calibri" w:cs="Arial"/>
                <w:bCs/>
                <w:sz w:val="22"/>
                <w:szCs w:val="22"/>
                <w:lang w:eastAsia="pl-PL"/>
              </w:rPr>
              <w:t>interlock</w:t>
            </w:r>
            <w:proofErr w:type="spellEnd"/>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Min. 2 odśrodkowe wentylatory filtracja HEPA H14 w obu kierunkach (góra i dół)</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Klasa czystości powietrza w komorze dekontaminacyjnej: nie gorsza niż ISO 5 zgodnie z ISO 14644-1</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Możliwość regulacji ciśnienia w zakresie co najmniej +/- 50 Pa</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Możliwość ustawienia pracy w podciśnieniu lub nadciśnieniu</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Oświetlenie LED min. 400 LUX</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Rękawy o średnicy 300mm</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Właz umożliwiający odpadków z możliwością podłączenia do niego dwóch rodzajów pojemników - sztywnych i giętkich. Podłączenie pojemników nie może zaburzać sterylności komory roboczej.</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Uchwyt do zawieszenia min. 3 perforowanych półek</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Gniazdo elektryczne i gniazdo z uszczelnieniem do wyprowadzenia okablowania na zewnątrz komory</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Reling o regulowanej głębokości z hakami do zawieszenia worków</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 xml:space="preserve"> Wymagania ogólne:</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Urządzenie musi pozwalać na samodzielną pracę po podłączeniu do prądu, tzn. musi być wyposażony w kompresor sprężonego powietrza, system wyciągowy i inne urządzenia niezbędne do pracy wymagane przez producenta.</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System zdalnego monitorowania parametrów pracy urządzenia przez producenta lub autoryzowanego przedstawiciela serwisowego</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Wbudowany w urządzenie komputer sterujący z interfejsem dotykowym</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Deklaracja zgodności z:</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 xml:space="preserve">ISO 14644-1 (2015) </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ISO 14644-2 (2016)</w:t>
            </w:r>
          </w:p>
          <w:p w:rsidR="007A7C61" w:rsidRPr="00737E4A" w:rsidRDefault="007A7C61" w:rsidP="00EE5B22">
            <w:pPr>
              <w:jc w:val="both"/>
              <w:rPr>
                <w:rFonts w:ascii="Calibri" w:hAnsi="Calibri" w:cs="Arial"/>
                <w:bCs/>
                <w:sz w:val="22"/>
                <w:szCs w:val="22"/>
                <w:lang w:val="en-US" w:eastAsia="pl-PL"/>
              </w:rPr>
            </w:pPr>
            <w:r w:rsidRPr="00737E4A">
              <w:rPr>
                <w:rFonts w:ascii="Calibri" w:hAnsi="Calibri" w:cs="Arial"/>
                <w:bCs/>
                <w:sz w:val="22"/>
                <w:szCs w:val="22"/>
                <w:lang w:val="en-US" w:eastAsia="pl-PL"/>
              </w:rPr>
              <w:t>ISO 14644-3 (2006)</w:t>
            </w:r>
          </w:p>
          <w:p w:rsidR="007A7C61" w:rsidRPr="00737E4A" w:rsidRDefault="007A7C61" w:rsidP="00EE5B22">
            <w:pPr>
              <w:jc w:val="both"/>
              <w:rPr>
                <w:rFonts w:ascii="Calibri" w:hAnsi="Calibri" w:cs="Arial"/>
                <w:bCs/>
                <w:sz w:val="22"/>
                <w:szCs w:val="22"/>
                <w:lang w:val="en-US" w:eastAsia="pl-PL"/>
              </w:rPr>
            </w:pPr>
            <w:r w:rsidRPr="00737E4A">
              <w:rPr>
                <w:rFonts w:ascii="Calibri" w:hAnsi="Calibri" w:cs="Arial"/>
                <w:bCs/>
                <w:sz w:val="22"/>
                <w:szCs w:val="22"/>
                <w:lang w:val="en-US" w:eastAsia="pl-PL"/>
              </w:rPr>
              <w:t>ISO 14644-7 (2004)</w:t>
            </w:r>
          </w:p>
          <w:p w:rsidR="007A7C61" w:rsidRPr="00737E4A" w:rsidRDefault="007A7C61" w:rsidP="00EE5B22">
            <w:pPr>
              <w:jc w:val="both"/>
              <w:rPr>
                <w:rFonts w:ascii="Calibri" w:hAnsi="Calibri" w:cs="Arial"/>
                <w:bCs/>
                <w:sz w:val="22"/>
                <w:szCs w:val="22"/>
                <w:lang w:val="en-US" w:eastAsia="pl-PL"/>
              </w:rPr>
            </w:pPr>
            <w:r w:rsidRPr="00737E4A">
              <w:rPr>
                <w:rFonts w:ascii="Calibri" w:hAnsi="Calibri" w:cs="Arial"/>
                <w:bCs/>
                <w:sz w:val="22"/>
                <w:szCs w:val="22"/>
                <w:lang w:val="en-US" w:eastAsia="pl-PL"/>
              </w:rPr>
              <w:t>ISO 14644-9 (2012)</w:t>
            </w:r>
          </w:p>
          <w:p w:rsidR="007A7C61" w:rsidRPr="00737E4A" w:rsidRDefault="007A7C61" w:rsidP="00EE5B22">
            <w:pPr>
              <w:jc w:val="both"/>
              <w:rPr>
                <w:rFonts w:ascii="Calibri" w:hAnsi="Calibri" w:cs="Arial"/>
                <w:bCs/>
                <w:sz w:val="22"/>
                <w:szCs w:val="22"/>
                <w:lang w:val="en-US" w:eastAsia="pl-PL"/>
              </w:rPr>
            </w:pPr>
            <w:r w:rsidRPr="00737E4A">
              <w:rPr>
                <w:rFonts w:ascii="Calibri" w:hAnsi="Calibri" w:cs="Arial"/>
                <w:bCs/>
                <w:sz w:val="22"/>
                <w:szCs w:val="22"/>
                <w:lang w:val="en-US" w:eastAsia="pl-PL"/>
              </w:rPr>
              <w:t>ISO 14644-10 (2013)</w:t>
            </w:r>
          </w:p>
          <w:p w:rsidR="007A7C61" w:rsidRPr="00737E4A" w:rsidRDefault="007A7C61" w:rsidP="00EE5B22">
            <w:pPr>
              <w:jc w:val="both"/>
              <w:rPr>
                <w:rFonts w:ascii="Calibri" w:hAnsi="Calibri" w:cs="Arial"/>
                <w:bCs/>
                <w:sz w:val="22"/>
                <w:szCs w:val="22"/>
                <w:lang w:val="en-US" w:eastAsia="pl-PL"/>
              </w:rPr>
            </w:pPr>
            <w:r w:rsidRPr="00737E4A">
              <w:rPr>
                <w:rFonts w:ascii="Calibri" w:hAnsi="Calibri" w:cs="Arial"/>
                <w:bCs/>
                <w:sz w:val="22"/>
                <w:szCs w:val="22"/>
                <w:lang w:val="en-US" w:eastAsia="pl-PL"/>
              </w:rPr>
              <w:t>ISO 14698-1 (2004)</w:t>
            </w:r>
          </w:p>
          <w:p w:rsidR="007A7C61" w:rsidRPr="00737E4A" w:rsidRDefault="007A7C61" w:rsidP="00EE5B22">
            <w:pPr>
              <w:jc w:val="both"/>
              <w:rPr>
                <w:rFonts w:ascii="Calibri" w:hAnsi="Calibri" w:cs="Arial"/>
                <w:bCs/>
                <w:sz w:val="22"/>
                <w:szCs w:val="22"/>
                <w:lang w:val="en-US" w:eastAsia="pl-PL"/>
              </w:rPr>
            </w:pPr>
            <w:r w:rsidRPr="00737E4A">
              <w:rPr>
                <w:rFonts w:ascii="Calibri" w:hAnsi="Calibri" w:cs="Arial"/>
                <w:bCs/>
                <w:sz w:val="22"/>
                <w:szCs w:val="22"/>
                <w:lang w:val="en-US" w:eastAsia="pl-PL"/>
              </w:rPr>
              <w:t>ISO 14698-2 (2004)</w:t>
            </w:r>
          </w:p>
          <w:p w:rsidR="007A7C61" w:rsidRPr="00737E4A" w:rsidRDefault="007A7C61" w:rsidP="00EE5B22">
            <w:pPr>
              <w:jc w:val="both"/>
              <w:rPr>
                <w:rFonts w:ascii="Calibri" w:hAnsi="Calibri" w:cs="Arial"/>
                <w:bCs/>
                <w:sz w:val="22"/>
                <w:szCs w:val="22"/>
                <w:lang w:val="en-US" w:eastAsia="pl-PL"/>
              </w:rPr>
            </w:pPr>
            <w:r w:rsidRPr="00737E4A">
              <w:rPr>
                <w:rFonts w:ascii="Calibri" w:hAnsi="Calibri" w:cs="Arial"/>
                <w:bCs/>
                <w:sz w:val="22"/>
                <w:szCs w:val="22"/>
                <w:lang w:val="en-US" w:eastAsia="pl-PL"/>
              </w:rPr>
              <w:t>ISO 10648-2 (1994)</w:t>
            </w:r>
          </w:p>
          <w:p w:rsidR="007A7C61" w:rsidRPr="00737E4A" w:rsidRDefault="007A7C61" w:rsidP="00EE5B22">
            <w:pPr>
              <w:jc w:val="both"/>
              <w:rPr>
                <w:rFonts w:ascii="Calibri" w:hAnsi="Calibri" w:cs="Arial"/>
                <w:bCs/>
                <w:sz w:val="22"/>
                <w:szCs w:val="22"/>
                <w:lang w:val="en-US" w:eastAsia="pl-PL"/>
              </w:rPr>
            </w:pPr>
            <w:r w:rsidRPr="00737E4A">
              <w:rPr>
                <w:rFonts w:ascii="Calibri" w:hAnsi="Calibri" w:cs="Arial"/>
                <w:bCs/>
                <w:sz w:val="22"/>
                <w:szCs w:val="22"/>
                <w:lang w:val="en-US" w:eastAsia="pl-PL"/>
              </w:rPr>
              <w:t>ISO 14161 (2009)</w:t>
            </w:r>
          </w:p>
          <w:p w:rsidR="007A7C61" w:rsidRPr="00737E4A" w:rsidRDefault="007A7C61" w:rsidP="00EE5B22">
            <w:pPr>
              <w:jc w:val="both"/>
              <w:rPr>
                <w:rFonts w:ascii="Calibri" w:hAnsi="Calibri" w:cs="Arial"/>
                <w:bCs/>
                <w:sz w:val="22"/>
                <w:szCs w:val="22"/>
                <w:lang w:val="en-US" w:eastAsia="pl-PL"/>
              </w:rPr>
            </w:pPr>
            <w:r w:rsidRPr="00737E4A">
              <w:rPr>
                <w:rFonts w:ascii="Calibri" w:hAnsi="Calibri" w:cs="Arial"/>
                <w:bCs/>
                <w:sz w:val="22"/>
                <w:szCs w:val="22"/>
                <w:lang w:val="en-US" w:eastAsia="pl-PL"/>
              </w:rPr>
              <w:t>NF EN 60204-1 (2006)</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NF T72-281 (2014)</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NF X30-505 (2004)</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Dyrektywą maszynową 2006/42/EC</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Dyrektywą niskonapięciową 2014/35/EU</w:t>
            </w:r>
          </w:p>
          <w:p w:rsidR="007A7C61" w:rsidRPr="00737E4A" w:rsidRDefault="007A7C61" w:rsidP="00EE5B22">
            <w:pPr>
              <w:jc w:val="both"/>
              <w:rPr>
                <w:rFonts w:ascii="Calibri" w:hAnsi="Calibri" w:cs="Arial"/>
                <w:bCs/>
                <w:sz w:val="22"/>
                <w:szCs w:val="22"/>
                <w:lang w:eastAsia="pl-PL"/>
              </w:rPr>
            </w:pPr>
            <w:r w:rsidRPr="00737E4A">
              <w:rPr>
                <w:rFonts w:ascii="Calibri" w:hAnsi="Calibri" w:cs="Arial"/>
                <w:bCs/>
                <w:sz w:val="22"/>
                <w:szCs w:val="22"/>
                <w:lang w:eastAsia="pl-PL"/>
              </w:rPr>
              <w:t>Kompatybilnością elektromagnetyczną 2004/108/EU</w:t>
            </w:r>
          </w:p>
          <w:p w:rsidR="007A7C61" w:rsidRPr="00737E4A" w:rsidRDefault="007A7C61" w:rsidP="00EE5B22">
            <w:pPr>
              <w:jc w:val="both"/>
              <w:rPr>
                <w:rFonts w:ascii="Calibri" w:hAnsi="Calibri" w:cs="Arial"/>
                <w:b/>
                <w:bCs/>
                <w:sz w:val="22"/>
                <w:szCs w:val="22"/>
                <w:lang w:eastAsia="pl-PL"/>
              </w:rPr>
            </w:pPr>
            <w:r w:rsidRPr="00737E4A">
              <w:rPr>
                <w:rFonts w:ascii="Calibri" w:hAnsi="Calibri" w:cs="Arial"/>
                <w:bCs/>
                <w:sz w:val="22"/>
                <w:szCs w:val="22"/>
                <w:lang w:eastAsia="pl-PL"/>
              </w:rPr>
              <w:t>Rekomendacjami BPP-BPF/GMP-CAMP5</w:t>
            </w:r>
          </w:p>
        </w:tc>
      </w:tr>
      <w:tr w:rsidR="007A7C61" w:rsidRPr="00737E4A" w:rsidTr="007A7C61">
        <w:trPr>
          <w:trHeight w:val="14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A7C61" w:rsidRPr="00737E4A" w:rsidRDefault="007A7C61" w:rsidP="00EE5B22">
            <w:pPr>
              <w:jc w:val="center"/>
              <w:rPr>
                <w:rFonts w:ascii="Calibri" w:hAnsi="Calibri" w:cs="Arial"/>
                <w:sz w:val="22"/>
                <w:szCs w:val="22"/>
                <w:lang w:eastAsia="pl-PL"/>
              </w:rPr>
            </w:pPr>
            <w:r w:rsidRPr="00737E4A">
              <w:rPr>
                <w:rFonts w:ascii="Calibri" w:hAnsi="Calibri" w:cs="Arial"/>
                <w:sz w:val="22"/>
                <w:szCs w:val="22"/>
                <w:lang w:eastAsia="pl-PL"/>
              </w:rPr>
              <w:t> </w:t>
            </w:r>
          </w:p>
        </w:tc>
        <w:tc>
          <w:tcPr>
            <w:tcW w:w="8127" w:type="dxa"/>
            <w:tcBorders>
              <w:top w:val="nil"/>
              <w:left w:val="nil"/>
              <w:bottom w:val="single" w:sz="4" w:space="0" w:color="auto"/>
              <w:right w:val="single" w:sz="4" w:space="0" w:color="auto"/>
            </w:tcBorders>
            <w:shd w:val="clear" w:color="auto" w:fill="auto"/>
            <w:vAlign w:val="center"/>
            <w:hideMark/>
          </w:tcPr>
          <w:p w:rsidR="007A7C61" w:rsidRPr="00737E4A" w:rsidRDefault="007A7C61" w:rsidP="00EE5B22">
            <w:pPr>
              <w:jc w:val="both"/>
              <w:rPr>
                <w:rFonts w:ascii="Calibri" w:hAnsi="Calibri" w:cs="Arial"/>
                <w:b/>
                <w:bCs/>
                <w:sz w:val="22"/>
                <w:szCs w:val="22"/>
                <w:lang w:eastAsia="pl-PL"/>
              </w:rPr>
            </w:pPr>
            <w:r w:rsidRPr="00737E4A">
              <w:rPr>
                <w:rFonts w:ascii="Calibri" w:hAnsi="Calibri" w:cs="Arial"/>
                <w:b/>
                <w:bCs/>
                <w:sz w:val="22"/>
                <w:szCs w:val="22"/>
                <w:lang w:eastAsia="pl-PL"/>
              </w:rPr>
              <w:t>SPOSÓB  FILTRACJI</w:t>
            </w:r>
          </w:p>
        </w:tc>
      </w:tr>
      <w:tr w:rsidR="007A7C61" w:rsidRPr="00737E4A" w:rsidTr="00EE5B22">
        <w:trPr>
          <w:trHeight w:val="269"/>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7A7C61" w:rsidRPr="00737E4A" w:rsidRDefault="007A7C61" w:rsidP="00EE5B22">
            <w:pPr>
              <w:jc w:val="center"/>
              <w:rPr>
                <w:rFonts w:ascii="Calibri" w:hAnsi="Calibri" w:cs="Arial"/>
                <w:sz w:val="22"/>
                <w:szCs w:val="22"/>
                <w:lang w:eastAsia="pl-PL"/>
              </w:rPr>
            </w:pPr>
            <w:r w:rsidRPr="00737E4A">
              <w:rPr>
                <w:rFonts w:ascii="Calibri" w:hAnsi="Calibri" w:cs="Arial"/>
                <w:sz w:val="22"/>
                <w:szCs w:val="22"/>
                <w:lang w:eastAsia="pl-PL"/>
              </w:rPr>
              <w:t>1</w:t>
            </w:r>
          </w:p>
        </w:tc>
        <w:tc>
          <w:tcPr>
            <w:tcW w:w="8127" w:type="dxa"/>
            <w:vMerge w:val="restart"/>
            <w:tcBorders>
              <w:top w:val="nil"/>
              <w:left w:val="single" w:sz="4" w:space="0" w:color="auto"/>
              <w:bottom w:val="single" w:sz="4" w:space="0" w:color="auto"/>
              <w:right w:val="single" w:sz="4" w:space="0" w:color="auto"/>
            </w:tcBorders>
            <w:shd w:val="clear" w:color="auto" w:fill="auto"/>
            <w:vAlign w:val="center"/>
            <w:hideMark/>
          </w:tcPr>
          <w:p w:rsidR="007A7C61" w:rsidRPr="00737E4A" w:rsidRDefault="007A7C61" w:rsidP="00EE5B22">
            <w:pPr>
              <w:jc w:val="both"/>
              <w:rPr>
                <w:rFonts w:ascii="Calibri" w:hAnsi="Calibri" w:cs="Arial"/>
                <w:sz w:val="22"/>
                <w:szCs w:val="22"/>
                <w:lang w:eastAsia="pl-PL"/>
              </w:rPr>
            </w:pPr>
            <w:r w:rsidRPr="00737E4A">
              <w:rPr>
                <w:rFonts w:ascii="Calibri" w:hAnsi="Calibri" w:cs="Arial"/>
                <w:sz w:val="22"/>
                <w:szCs w:val="22"/>
                <w:lang w:eastAsia="pl-PL"/>
              </w:rPr>
              <w:t>Zastosowanie w komorze filtrów cylindrycznych (</w:t>
            </w:r>
            <w:proofErr w:type="spellStart"/>
            <w:r w:rsidRPr="00737E4A">
              <w:rPr>
                <w:rFonts w:ascii="Calibri" w:hAnsi="Calibri" w:cs="Arial"/>
                <w:sz w:val="22"/>
                <w:szCs w:val="22"/>
                <w:lang w:eastAsia="pl-PL"/>
              </w:rPr>
              <w:t>kapsułowych</w:t>
            </w:r>
            <w:proofErr w:type="spellEnd"/>
            <w:r w:rsidRPr="00737E4A">
              <w:rPr>
                <w:rFonts w:ascii="Calibri" w:hAnsi="Calibri" w:cs="Arial"/>
                <w:sz w:val="22"/>
                <w:szCs w:val="22"/>
                <w:lang w:eastAsia="pl-PL"/>
              </w:rPr>
              <w:t>) zamiast płaskich</w:t>
            </w:r>
          </w:p>
        </w:tc>
      </w:tr>
      <w:tr w:rsidR="007A7C61" w:rsidRPr="00737E4A" w:rsidTr="007A7C61">
        <w:trPr>
          <w:trHeight w:val="458"/>
        </w:trPr>
        <w:tc>
          <w:tcPr>
            <w:tcW w:w="960" w:type="dxa"/>
            <w:vMerge/>
            <w:tcBorders>
              <w:top w:val="nil"/>
              <w:left w:val="single" w:sz="4" w:space="0" w:color="auto"/>
              <w:bottom w:val="single" w:sz="4" w:space="0" w:color="auto"/>
              <w:right w:val="single" w:sz="4" w:space="0" w:color="auto"/>
            </w:tcBorders>
            <w:vAlign w:val="center"/>
            <w:hideMark/>
          </w:tcPr>
          <w:p w:rsidR="007A7C61" w:rsidRPr="00737E4A" w:rsidRDefault="007A7C61" w:rsidP="00EE5B22">
            <w:pPr>
              <w:rPr>
                <w:rFonts w:ascii="Calibri" w:hAnsi="Calibri" w:cs="Arial"/>
                <w:sz w:val="22"/>
                <w:szCs w:val="22"/>
                <w:lang w:eastAsia="pl-PL"/>
              </w:rPr>
            </w:pPr>
          </w:p>
        </w:tc>
        <w:tc>
          <w:tcPr>
            <w:tcW w:w="8127" w:type="dxa"/>
            <w:vMerge/>
            <w:tcBorders>
              <w:top w:val="nil"/>
              <w:left w:val="single" w:sz="4" w:space="0" w:color="auto"/>
              <w:bottom w:val="single" w:sz="4" w:space="0" w:color="auto"/>
              <w:right w:val="single" w:sz="4" w:space="0" w:color="auto"/>
            </w:tcBorders>
            <w:vAlign w:val="center"/>
            <w:hideMark/>
          </w:tcPr>
          <w:p w:rsidR="007A7C61" w:rsidRPr="00737E4A" w:rsidRDefault="007A7C61" w:rsidP="00EE5B22">
            <w:pPr>
              <w:rPr>
                <w:rFonts w:ascii="Calibri" w:hAnsi="Calibri" w:cs="Arial"/>
                <w:sz w:val="22"/>
                <w:szCs w:val="22"/>
                <w:lang w:eastAsia="pl-PL"/>
              </w:rPr>
            </w:pPr>
          </w:p>
        </w:tc>
      </w:tr>
      <w:tr w:rsidR="007A7C61" w:rsidRPr="00737E4A" w:rsidTr="007A7C61">
        <w:trPr>
          <w:trHeight w:val="615"/>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2</w:t>
            </w:r>
          </w:p>
        </w:tc>
        <w:tc>
          <w:tcPr>
            <w:tcW w:w="8127" w:type="dxa"/>
            <w:vMerge w:val="restart"/>
            <w:tcBorders>
              <w:top w:val="nil"/>
              <w:left w:val="single" w:sz="4" w:space="0" w:color="auto"/>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Stopień filtra głównego bezpośrednio pod powierzchnią roboczą, filtr zabezpieczony przed uszkodzeniem mechanicznym w trakcie pracy i wymiany.</w:t>
            </w:r>
          </w:p>
        </w:tc>
      </w:tr>
      <w:tr w:rsidR="007A7C61" w:rsidRPr="00737E4A" w:rsidTr="007A7C61">
        <w:trPr>
          <w:trHeight w:val="458"/>
        </w:trPr>
        <w:tc>
          <w:tcPr>
            <w:tcW w:w="960" w:type="dxa"/>
            <w:vMerge/>
            <w:tcBorders>
              <w:top w:val="nil"/>
              <w:left w:val="single" w:sz="4" w:space="0" w:color="auto"/>
              <w:bottom w:val="single" w:sz="4" w:space="0" w:color="auto"/>
              <w:right w:val="single" w:sz="4" w:space="0" w:color="auto"/>
            </w:tcBorders>
            <w:hideMark/>
          </w:tcPr>
          <w:p w:rsidR="007A7C61" w:rsidRPr="00737E4A" w:rsidRDefault="007A7C61" w:rsidP="007A7C61">
            <w:pPr>
              <w:rPr>
                <w:rFonts w:ascii="Calibri" w:hAnsi="Calibri" w:cs="Arial"/>
                <w:sz w:val="22"/>
                <w:szCs w:val="22"/>
                <w:lang w:eastAsia="pl-PL"/>
              </w:rPr>
            </w:pPr>
          </w:p>
        </w:tc>
        <w:tc>
          <w:tcPr>
            <w:tcW w:w="8127" w:type="dxa"/>
            <w:vMerge/>
            <w:tcBorders>
              <w:top w:val="nil"/>
              <w:left w:val="single" w:sz="4" w:space="0" w:color="auto"/>
              <w:bottom w:val="single" w:sz="4" w:space="0" w:color="auto"/>
              <w:right w:val="single" w:sz="4" w:space="0" w:color="auto"/>
            </w:tcBorders>
            <w:hideMark/>
          </w:tcPr>
          <w:p w:rsidR="007A7C61" w:rsidRPr="00737E4A" w:rsidRDefault="007A7C61" w:rsidP="007A7C61">
            <w:pPr>
              <w:rPr>
                <w:rFonts w:ascii="Calibri" w:hAnsi="Calibri" w:cs="Arial"/>
                <w:sz w:val="22"/>
                <w:szCs w:val="22"/>
                <w:lang w:eastAsia="pl-PL"/>
              </w:rPr>
            </w:pPr>
          </w:p>
        </w:tc>
      </w:tr>
      <w:tr w:rsidR="007A7C61" w:rsidRPr="00737E4A" w:rsidTr="007A7C61">
        <w:trPr>
          <w:trHeight w:val="269"/>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3</w:t>
            </w:r>
          </w:p>
        </w:tc>
        <w:tc>
          <w:tcPr>
            <w:tcW w:w="8127" w:type="dxa"/>
            <w:vMerge w:val="restart"/>
            <w:tcBorders>
              <w:top w:val="nil"/>
              <w:left w:val="single" w:sz="4" w:space="0" w:color="auto"/>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 xml:space="preserve">Wymiana filtra głównego bez ryzyka kontaminacji pomieszczenia. </w:t>
            </w:r>
          </w:p>
        </w:tc>
      </w:tr>
      <w:tr w:rsidR="007A7C61" w:rsidRPr="00737E4A" w:rsidTr="007A7C61">
        <w:trPr>
          <w:trHeight w:val="458"/>
        </w:trPr>
        <w:tc>
          <w:tcPr>
            <w:tcW w:w="960" w:type="dxa"/>
            <w:vMerge/>
            <w:tcBorders>
              <w:top w:val="nil"/>
              <w:left w:val="single" w:sz="4" w:space="0" w:color="auto"/>
              <w:bottom w:val="single" w:sz="4" w:space="0" w:color="auto"/>
              <w:right w:val="single" w:sz="4" w:space="0" w:color="auto"/>
            </w:tcBorders>
            <w:hideMark/>
          </w:tcPr>
          <w:p w:rsidR="007A7C61" w:rsidRPr="00737E4A" w:rsidRDefault="007A7C61" w:rsidP="007A7C61">
            <w:pPr>
              <w:rPr>
                <w:rFonts w:ascii="Calibri" w:hAnsi="Calibri" w:cs="Arial"/>
                <w:sz w:val="22"/>
                <w:szCs w:val="22"/>
                <w:lang w:eastAsia="pl-PL"/>
              </w:rPr>
            </w:pPr>
          </w:p>
        </w:tc>
        <w:tc>
          <w:tcPr>
            <w:tcW w:w="8127" w:type="dxa"/>
            <w:vMerge/>
            <w:tcBorders>
              <w:top w:val="nil"/>
              <w:left w:val="single" w:sz="4" w:space="0" w:color="auto"/>
              <w:bottom w:val="single" w:sz="4" w:space="0" w:color="auto"/>
              <w:right w:val="single" w:sz="4" w:space="0" w:color="auto"/>
            </w:tcBorders>
            <w:hideMark/>
          </w:tcPr>
          <w:p w:rsidR="007A7C61" w:rsidRPr="00737E4A" w:rsidRDefault="007A7C61" w:rsidP="007A7C61">
            <w:pPr>
              <w:rPr>
                <w:rFonts w:ascii="Calibri" w:hAnsi="Calibri" w:cs="Arial"/>
                <w:sz w:val="22"/>
                <w:szCs w:val="22"/>
                <w:lang w:eastAsia="pl-PL"/>
              </w:rPr>
            </w:pPr>
          </w:p>
        </w:tc>
      </w:tr>
      <w:tr w:rsidR="007A7C61" w:rsidRPr="00737E4A" w:rsidTr="007A7C61">
        <w:trPr>
          <w:trHeight w:val="420"/>
        </w:trPr>
        <w:tc>
          <w:tcPr>
            <w:tcW w:w="960" w:type="dxa"/>
            <w:tcBorders>
              <w:top w:val="nil"/>
              <w:left w:val="single" w:sz="4" w:space="0" w:color="auto"/>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 </w:t>
            </w:r>
          </w:p>
        </w:tc>
        <w:tc>
          <w:tcPr>
            <w:tcW w:w="8127" w:type="dxa"/>
            <w:tcBorders>
              <w:top w:val="nil"/>
              <w:left w:val="nil"/>
              <w:bottom w:val="single" w:sz="4" w:space="0" w:color="auto"/>
              <w:right w:val="single" w:sz="4" w:space="0" w:color="auto"/>
            </w:tcBorders>
            <w:shd w:val="clear" w:color="auto" w:fill="auto"/>
            <w:hideMark/>
          </w:tcPr>
          <w:p w:rsidR="007A7C61" w:rsidRPr="00737E4A" w:rsidRDefault="007A7C61" w:rsidP="007A7C61">
            <w:pPr>
              <w:rPr>
                <w:rFonts w:ascii="Calibri" w:hAnsi="Calibri" w:cs="Arial"/>
                <w:b/>
                <w:bCs/>
                <w:sz w:val="22"/>
                <w:szCs w:val="22"/>
                <w:lang w:eastAsia="pl-PL"/>
              </w:rPr>
            </w:pPr>
            <w:r w:rsidRPr="00737E4A">
              <w:rPr>
                <w:rFonts w:ascii="Calibri" w:hAnsi="Calibri" w:cs="Arial"/>
                <w:b/>
                <w:bCs/>
                <w:sz w:val="22"/>
                <w:szCs w:val="22"/>
                <w:lang w:eastAsia="pl-PL"/>
              </w:rPr>
              <w:t>STEROWANIE I MONITOROWANIE</w:t>
            </w:r>
          </w:p>
        </w:tc>
      </w:tr>
      <w:tr w:rsidR="007A7C61" w:rsidRPr="00737E4A" w:rsidTr="007A7C61">
        <w:trPr>
          <w:trHeight w:val="381"/>
        </w:trPr>
        <w:tc>
          <w:tcPr>
            <w:tcW w:w="960" w:type="dxa"/>
            <w:tcBorders>
              <w:top w:val="nil"/>
              <w:left w:val="single" w:sz="4" w:space="0" w:color="auto"/>
              <w:bottom w:val="nil"/>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4</w:t>
            </w:r>
          </w:p>
        </w:tc>
        <w:tc>
          <w:tcPr>
            <w:tcW w:w="8127" w:type="dxa"/>
            <w:tcBorders>
              <w:top w:val="nil"/>
              <w:left w:val="nil"/>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Szczegółowa diagnoza zakłóceń - wyświetlanie stanu poza przestrzenią roboczą</w:t>
            </w:r>
          </w:p>
        </w:tc>
      </w:tr>
      <w:tr w:rsidR="007A7C61" w:rsidRPr="00737E4A" w:rsidTr="007A7C61">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 </w:t>
            </w:r>
          </w:p>
        </w:tc>
        <w:tc>
          <w:tcPr>
            <w:tcW w:w="8127" w:type="dxa"/>
            <w:tcBorders>
              <w:top w:val="nil"/>
              <w:left w:val="nil"/>
              <w:bottom w:val="single" w:sz="4" w:space="0" w:color="auto"/>
              <w:right w:val="single" w:sz="4" w:space="0" w:color="auto"/>
            </w:tcBorders>
            <w:shd w:val="clear" w:color="auto" w:fill="auto"/>
            <w:hideMark/>
          </w:tcPr>
          <w:p w:rsidR="007A7C61" w:rsidRPr="00737E4A" w:rsidRDefault="007A7C61" w:rsidP="007A7C61">
            <w:pPr>
              <w:rPr>
                <w:rFonts w:ascii="Calibri" w:hAnsi="Calibri" w:cs="Arial"/>
                <w:b/>
                <w:bCs/>
                <w:sz w:val="22"/>
                <w:szCs w:val="22"/>
                <w:lang w:eastAsia="pl-PL"/>
              </w:rPr>
            </w:pPr>
            <w:r w:rsidRPr="00737E4A">
              <w:rPr>
                <w:rFonts w:ascii="Calibri" w:hAnsi="Calibri" w:cs="Arial"/>
                <w:b/>
                <w:bCs/>
                <w:sz w:val="22"/>
                <w:szCs w:val="22"/>
                <w:lang w:eastAsia="pl-PL"/>
              </w:rPr>
              <w:t>INNE</w:t>
            </w:r>
          </w:p>
        </w:tc>
      </w:tr>
      <w:tr w:rsidR="007A7C61" w:rsidRPr="00737E4A" w:rsidTr="007A7C61">
        <w:trPr>
          <w:trHeight w:val="615"/>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5</w:t>
            </w:r>
          </w:p>
        </w:tc>
        <w:tc>
          <w:tcPr>
            <w:tcW w:w="8127" w:type="dxa"/>
            <w:vMerge w:val="restart"/>
            <w:tcBorders>
              <w:top w:val="nil"/>
              <w:left w:val="single" w:sz="4" w:space="0" w:color="auto"/>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Zabezpieczenie filtrów urządzenia przed zanieczyszczeniem płynem rozlanym wewnątrz komory (brak konieczności każdorazowej wymiany filtrów w przypadku takiego zdarzenia)</w:t>
            </w:r>
          </w:p>
        </w:tc>
      </w:tr>
      <w:tr w:rsidR="007A7C61" w:rsidRPr="00737E4A" w:rsidTr="007A7C61">
        <w:trPr>
          <w:trHeight w:val="458"/>
        </w:trPr>
        <w:tc>
          <w:tcPr>
            <w:tcW w:w="960" w:type="dxa"/>
            <w:vMerge/>
            <w:tcBorders>
              <w:top w:val="nil"/>
              <w:left w:val="single" w:sz="4" w:space="0" w:color="auto"/>
              <w:bottom w:val="single" w:sz="4" w:space="0" w:color="auto"/>
              <w:right w:val="single" w:sz="4" w:space="0" w:color="auto"/>
            </w:tcBorders>
            <w:hideMark/>
          </w:tcPr>
          <w:p w:rsidR="007A7C61" w:rsidRPr="00737E4A" w:rsidRDefault="007A7C61" w:rsidP="007A7C61">
            <w:pPr>
              <w:rPr>
                <w:rFonts w:ascii="Calibri" w:hAnsi="Calibri" w:cs="Arial"/>
                <w:sz w:val="22"/>
                <w:szCs w:val="22"/>
                <w:lang w:eastAsia="pl-PL"/>
              </w:rPr>
            </w:pPr>
          </w:p>
        </w:tc>
        <w:tc>
          <w:tcPr>
            <w:tcW w:w="8127" w:type="dxa"/>
            <w:vMerge/>
            <w:tcBorders>
              <w:top w:val="nil"/>
              <w:left w:val="single" w:sz="4" w:space="0" w:color="auto"/>
              <w:bottom w:val="single" w:sz="4" w:space="0" w:color="auto"/>
              <w:right w:val="single" w:sz="4" w:space="0" w:color="auto"/>
            </w:tcBorders>
            <w:hideMark/>
          </w:tcPr>
          <w:p w:rsidR="007A7C61" w:rsidRPr="00737E4A" w:rsidRDefault="007A7C61" w:rsidP="007A7C61">
            <w:pPr>
              <w:rPr>
                <w:rFonts w:ascii="Calibri" w:hAnsi="Calibri" w:cs="Arial"/>
                <w:sz w:val="22"/>
                <w:szCs w:val="22"/>
                <w:lang w:eastAsia="pl-PL"/>
              </w:rPr>
            </w:pPr>
          </w:p>
        </w:tc>
      </w:tr>
      <w:tr w:rsidR="007A7C61" w:rsidRPr="00737E4A" w:rsidTr="007A7C61">
        <w:trPr>
          <w:trHeight w:val="269"/>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6</w:t>
            </w:r>
          </w:p>
        </w:tc>
        <w:tc>
          <w:tcPr>
            <w:tcW w:w="8127" w:type="dxa"/>
            <w:vMerge w:val="restart"/>
            <w:tcBorders>
              <w:top w:val="nil"/>
              <w:left w:val="single" w:sz="4" w:space="0" w:color="auto"/>
              <w:bottom w:val="single" w:sz="4" w:space="0" w:color="auto"/>
              <w:right w:val="single" w:sz="4" w:space="0" w:color="auto"/>
            </w:tcBorders>
            <w:shd w:val="clear" w:color="auto" w:fill="auto"/>
            <w:hideMark/>
          </w:tcPr>
          <w:p w:rsidR="007A7C61" w:rsidRPr="00737E4A" w:rsidRDefault="007A7C61" w:rsidP="007A7C61">
            <w:pPr>
              <w:rPr>
                <w:rFonts w:ascii="Calibri" w:hAnsi="Calibri" w:cs="Arial"/>
                <w:sz w:val="22"/>
                <w:szCs w:val="22"/>
                <w:lang w:eastAsia="pl-PL"/>
              </w:rPr>
            </w:pPr>
            <w:r w:rsidRPr="00737E4A">
              <w:rPr>
                <w:rFonts w:ascii="Calibri" w:hAnsi="Calibri" w:cs="Arial"/>
                <w:sz w:val="22"/>
                <w:szCs w:val="22"/>
                <w:lang w:eastAsia="pl-PL"/>
              </w:rPr>
              <w:t>Długość czasu niezbędnego do wymiany filtrów - (okres wyłączenia komory z eksploatacji) max. 24 godziny</w:t>
            </w:r>
            <w:bookmarkStart w:id="13" w:name="_GoBack"/>
            <w:bookmarkEnd w:id="13"/>
          </w:p>
        </w:tc>
      </w:tr>
      <w:tr w:rsidR="007A7C61" w:rsidRPr="00737E4A" w:rsidTr="00EE5B22">
        <w:trPr>
          <w:trHeight w:val="510"/>
        </w:trPr>
        <w:tc>
          <w:tcPr>
            <w:tcW w:w="960" w:type="dxa"/>
            <w:vMerge/>
            <w:tcBorders>
              <w:top w:val="nil"/>
              <w:left w:val="single" w:sz="4" w:space="0" w:color="auto"/>
              <w:bottom w:val="single" w:sz="4" w:space="0" w:color="auto"/>
              <w:right w:val="single" w:sz="4" w:space="0" w:color="auto"/>
            </w:tcBorders>
            <w:vAlign w:val="center"/>
            <w:hideMark/>
          </w:tcPr>
          <w:p w:rsidR="007A7C61" w:rsidRPr="00737E4A" w:rsidRDefault="007A7C61" w:rsidP="00EE5B22">
            <w:pPr>
              <w:rPr>
                <w:rFonts w:ascii="Calibri" w:hAnsi="Calibri" w:cs="Arial"/>
                <w:sz w:val="22"/>
                <w:szCs w:val="22"/>
                <w:lang w:eastAsia="pl-PL"/>
              </w:rPr>
            </w:pPr>
          </w:p>
        </w:tc>
        <w:tc>
          <w:tcPr>
            <w:tcW w:w="8127" w:type="dxa"/>
            <w:vMerge/>
            <w:tcBorders>
              <w:top w:val="nil"/>
              <w:left w:val="single" w:sz="4" w:space="0" w:color="auto"/>
              <w:bottom w:val="single" w:sz="4" w:space="0" w:color="auto"/>
              <w:right w:val="single" w:sz="4" w:space="0" w:color="auto"/>
            </w:tcBorders>
            <w:vAlign w:val="center"/>
            <w:hideMark/>
          </w:tcPr>
          <w:p w:rsidR="007A7C61" w:rsidRPr="00737E4A" w:rsidRDefault="007A7C61" w:rsidP="00EE5B22">
            <w:pPr>
              <w:rPr>
                <w:rFonts w:ascii="Calibri" w:hAnsi="Calibri" w:cs="Arial"/>
                <w:sz w:val="22"/>
                <w:szCs w:val="22"/>
                <w:lang w:eastAsia="pl-PL"/>
              </w:rPr>
            </w:pPr>
          </w:p>
        </w:tc>
      </w:tr>
      <w:tr w:rsidR="007A7C61" w:rsidRPr="00737E4A" w:rsidTr="00EE5B22">
        <w:trPr>
          <w:trHeight w:val="510"/>
        </w:trPr>
        <w:tc>
          <w:tcPr>
            <w:tcW w:w="960" w:type="dxa"/>
            <w:vMerge/>
            <w:tcBorders>
              <w:top w:val="nil"/>
              <w:left w:val="single" w:sz="4" w:space="0" w:color="auto"/>
              <w:bottom w:val="single" w:sz="4" w:space="0" w:color="auto"/>
              <w:right w:val="single" w:sz="4" w:space="0" w:color="auto"/>
            </w:tcBorders>
            <w:vAlign w:val="center"/>
            <w:hideMark/>
          </w:tcPr>
          <w:p w:rsidR="007A7C61" w:rsidRPr="00737E4A" w:rsidRDefault="007A7C61" w:rsidP="00EE5B22">
            <w:pPr>
              <w:rPr>
                <w:rFonts w:ascii="Calibri" w:hAnsi="Calibri" w:cs="Arial"/>
                <w:sz w:val="22"/>
                <w:szCs w:val="22"/>
                <w:lang w:eastAsia="pl-PL"/>
              </w:rPr>
            </w:pPr>
          </w:p>
        </w:tc>
        <w:tc>
          <w:tcPr>
            <w:tcW w:w="8127" w:type="dxa"/>
            <w:vMerge/>
            <w:tcBorders>
              <w:top w:val="nil"/>
              <w:left w:val="single" w:sz="4" w:space="0" w:color="auto"/>
              <w:bottom w:val="single" w:sz="4" w:space="0" w:color="auto"/>
              <w:right w:val="single" w:sz="4" w:space="0" w:color="auto"/>
            </w:tcBorders>
            <w:vAlign w:val="center"/>
            <w:hideMark/>
          </w:tcPr>
          <w:p w:rsidR="007A7C61" w:rsidRPr="00737E4A" w:rsidRDefault="007A7C61" w:rsidP="00EE5B22">
            <w:pPr>
              <w:rPr>
                <w:rFonts w:ascii="Calibri" w:hAnsi="Calibri" w:cs="Arial"/>
                <w:sz w:val="22"/>
                <w:szCs w:val="22"/>
                <w:lang w:eastAsia="pl-PL"/>
              </w:rPr>
            </w:pPr>
          </w:p>
        </w:tc>
      </w:tr>
    </w:tbl>
    <w:p w:rsidR="007A7C61" w:rsidRDefault="007A7C61" w:rsidP="007A7C61">
      <w:pPr>
        <w:tabs>
          <w:tab w:val="left" w:pos="6480"/>
        </w:tabs>
        <w:rPr>
          <w:rFonts w:ascii="Calibri" w:hAnsi="Calibri"/>
          <w:sz w:val="22"/>
          <w:szCs w:val="22"/>
        </w:rPr>
      </w:pPr>
    </w:p>
    <w:p w:rsidR="007A7C61" w:rsidRDefault="007A7C61" w:rsidP="007A7C61">
      <w:pPr>
        <w:tabs>
          <w:tab w:val="left" w:pos="6480"/>
        </w:tabs>
        <w:rPr>
          <w:rFonts w:ascii="Calibri" w:hAnsi="Calibri"/>
          <w:sz w:val="22"/>
          <w:szCs w:val="22"/>
        </w:rPr>
      </w:pPr>
    </w:p>
    <w:p w:rsidR="007A7C61" w:rsidRPr="00737E4A" w:rsidRDefault="007A7C61" w:rsidP="007A7C61">
      <w:pPr>
        <w:tabs>
          <w:tab w:val="left" w:pos="6480"/>
        </w:tabs>
        <w:rPr>
          <w:rFonts w:ascii="Calibri" w:hAnsi="Calibri"/>
          <w:sz w:val="22"/>
          <w:szCs w:val="22"/>
        </w:rPr>
      </w:pPr>
    </w:p>
    <w:p w:rsidR="007A7C61" w:rsidRDefault="007A7C61" w:rsidP="00622947">
      <w:pPr>
        <w:rPr>
          <w:rFonts w:ascii="Arial" w:hAnsi="Arial" w:cs="Arial"/>
        </w:rPr>
      </w:pPr>
    </w:p>
    <w:sectPr w:rsidR="007A7C61" w:rsidSect="009307AF">
      <w:footerReference w:type="default" r:id="rId14"/>
      <w:pgSz w:w="11906" w:h="16838" w:orient="landscape"/>
      <w:pgMar w:top="1134" w:right="843"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DE3" w:rsidRDefault="00241DE3" w:rsidP="00843755">
      <w:r>
        <w:separator/>
      </w:r>
    </w:p>
  </w:endnote>
  <w:endnote w:type="continuationSeparator" w:id="0">
    <w:p w:rsidR="00241DE3" w:rsidRDefault="00241DE3" w:rsidP="008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swiss"/>
    <w:pitch w:val="default"/>
  </w:font>
  <w:font w:name="Times New Roman">
    <w:altName w:val="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GE Inspira">
    <w:altName w:val="Calibri"/>
    <w:charset w:val="EE"/>
    <w:family w:val="swiss"/>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PS-BoldMT">
    <w:panose1 w:val="00000000000000000000"/>
    <w:charset w:val="EE"/>
    <w:family w:val="auto"/>
    <w:notTrueType/>
    <w:pitch w:val="default"/>
    <w:sig w:usb0="00000007" w:usb1="00000000" w:usb2="00000000" w:usb3="00000000" w:csb0="00000003" w:csb1="00000000"/>
  </w:font>
  <w:font w:name="TimesNewRomanPSM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6982528"/>
      <w:docPartObj>
        <w:docPartGallery w:val="Page Numbers (Bottom of Page)"/>
        <w:docPartUnique/>
      </w:docPartObj>
    </w:sdtPr>
    <w:sdtContent>
      <w:p w:rsidR="00F3671E" w:rsidRDefault="00F3671E">
        <w:pPr>
          <w:pStyle w:val="Stopka"/>
          <w:jc w:val="right"/>
        </w:pPr>
        <w:r>
          <w:fldChar w:fldCharType="begin"/>
        </w:r>
        <w:r>
          <w:instrText>PAGE   \* MERGEFORMAT</w:instrText>
        </w:r>
        <w:r>
          <w:fldChar w:fldCharType="separate"/>
        </w:r>
        <w:r>
          <w:t>2</w:t>
        </w:r>
        <w:r>
          <w:fldChar w:fldCharType="end"/>
        </w:r>
      </w:p>
    </w:sdtContent>
  </w:sdt>
  <w:p w:rsidR="00F3671E" w:rsidRDefault="00F3671E">
    <w:pPr>
      <w:pStyle w:val="Stopka"/>
    </w:pPr>
  </w:p>
  <w:p w:rsidR="00F3671E" w:rsidRDefault="00F3671E"/>
  <w:p w:rsidR="00F3671E" w:rsidRDefault="00F367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DE3" w:rsidRDefault="00241DE3" w:rsidP="00843755">
      <w:r>
        <w:separator/>
      </w:r>
    </w:p>
  </w:footnote>
  <w:footnote w:type="continuationSeparator" w:id="0">
    <w:p w:rsidR="00241DE3" w:rsidRDefault="00241DE3" w:rsidP="008437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0"/>
        </w:tabs>
        <w:ind w:left="567" w:hanging="567"/>
      </w:pPr>
      <w:rPr>
        <w:rFonts w:ascii="Helvetica Neue" w:hAnsi="Helvetica Neue" w:cs="Arial Unicode MS" w:hint="default"/>
        <w:caps w:val="0"/>
        <w:smallCaps w:val="0"/>
        <w:strike w:val="0"/>
        <w:dstrike w:val="0"/>
        <w:outline w:val="0"/>
        <w:spacing w:val="0"/>
        <w:w w:val="100"/>
        <w:kern w:val="1"/>
        <w:position w:val="0"/>
        <w:sz w:val="22"/>
        <w:szCs w:val="22"/>
        <w:vertAlign w:val="baseline"/>
        <w:em w:val="none"/>
      </w:rPr>
    </w:lvl>
  </w:abstractNum>
  <w:abstractNum w:abstractNumId="1" w15:restartNumberingAfterBreak="0">
    <w:nsid w:val="00000003"/>
    <w:multiLevelType w:val="multilevel"/>
    <w:tmpl w:val="00000003"/>
    <w:lvl w:ilvl="0">
      <w:start w:val="1"/>
      <w:numFmt w:val="decimal"/>
      <w:lvlText w:val="%1."/>
      <w:lvlJc w:val="left"/>
      <w:pPr>
        <w:tabs>
          <w:tab w:val="num" w:pos="0"/>
        </w:tabs>
        <w:ind w:left="567" w:hanging="567"/>
      </w:pPr>
      <w:rPr>
        <w:rFonts w:ascii="Helvetica Neue" w:hAnsi="Helvetica Neue" w:cs="Arial Unicode MS" w:hint="default"/>
        <w:caps w:val="0"/>
        <w:smallCaps w:val="0"/>
        <w:strike w:val="0"/>
        <w:dstrike w:val="0"/>
        <w:outline w:val="0"/>
        <w:spacing w:val="0"/>
        <w:w w:val="100"/>
        <w:kern w:val="1"/>
        <w:position w:val="0"/>
        <w:sz w:val="22"/>
        <w:szCs w:val="22"/>
        <w:vertAlign w:val="baseline"/>
        <w:em w:val="none"/>
      </w:rPr>
    </w:lvl>
    <w:lvl w:ilvl="1">
      <w:start w:val="1"/>
      <w:numFmt w:val="decimal"/>
      <w:lvlText w:val="%2."/>
      <w:lvlJc w:val="left"/>
      <w:pPr>
        <w:tabs>
          <w:tab w:val="num" w:pos="0"/>
        </w:tabs>
        <w:ind w:left="690" w:hanging="330"/>
      </w:pPr>
      <w:rPr>
        <w:rFonts w:ascii="Helvetica Neue" w:hAnsi="Helvetica Neue" w:cs="Arial Unicode MS" w:hint="default"/>
        <w:caps w:val="0"/>
        <w:smallCaps w:val="0"/>
        <w:strike w:val="0"/>
        <w:dstrike w:val="0"/>
        <w:outline w:val="0"/>
        <w:spacing w:val="0"/>
        <w:w w:val="100"/>
        <w:kern w:val="1"/>
        <w:position w:val="0"/>
        <w:sz w:val="22"/>
        <w:szCs w:val="22"/>
        <w:vertAlign w:val="baseline"/>
        <w:em w:val="none"/>
      </w:rPr>
    </w:lvl>
    <w:lvl w:ilvl="2">
      <w:start w:val="1"/>
      <w:numFmt w:val="decimal"/>
      <w:lvlText w:val="%3."/>
      <w:lvlJc w:val="left"/>
      <w:pPr>
        <w:tabs>
          <w:tab w:val="num" w:pos="0"/>
        </w:tabs>
        <w:ind w:left="1050" w:hanging="330"/>
      </w:pPr>
      <w:rPr>
        <w:rFonts w:ascii="Helvetica Neue" w:hAnsi="Helvetica Neue" w:cs="Arial Unicode MS" w:hint="default"/>
        <w:caps w:val="0"/>
        <w:smallCaps w:val="0"/>
        <w:strike w:val="0"/>
        <w:dstrike w:val="0"/>
        <w:outline w:val="0"/>
        <w:spacing w:val="0"/>
        <w:w w:val="100"/>
        <w:kern w:val="1"/>
        <w:position w:val="0"/>
        <w:sz w:val="22"/>
        <w:szCs w:val="22"/>
        <w:vertAlign w:val="baseline"/>
        <w:em w:val="none"/>
      </w:rPr>
    </w:lvl>
    <w:lvl w:ilvl="3">
      <w:start w:val="1"/>
      <w:numFmt w:val="decimal"/>
      <w:lvlText w:val="%4."/>
      <w:lvlJc w:val="left"/>
      <w:pPr>
        <w:tabs>
          <w:tab w:val="num" w:pos="0"/>
        </w:tabs>
        <w:ind w:left="1410" w:hanging="330"/>
      </w:pPr>
      <w:rPr>
        <w:rFonts w:ascii="Helvetica Neue" w:hAnsi="Helvetica Neue" w:cs="Arial Unicode MS" w:hint="default"/>
        <w:caps w:val="0"/>
        <w:smallCaps w:val="0"/>
        <w:strike w:val="0"/>
        <w:dstrike w:val="0"/>
        <w:outline w:val="0"/>
        <w:spacing w:val="0"/>
        <w:w w:val="100"/>
        <w:kern w:val="1"/>
        <w:position w:val="0"/>
        <w:sz w:val="22"/>
        <w:szCs w:val="22"/>
        <w:vertAlign w:val="baseline"/>
        <w:em w:val="none"/>
      </w:rPr>
    </w:lvl>
    <w:lvl w:ilvl="4">
      <w:start w:val="1"/>
      <w:numFmt w:val="decimal"/>
      <w:lvlText w:val="%5."/>
      <w:lvlJc w:val="left"/>
      <w:pPr>
        <w:tabs>
          <w:tab w:val="num" w:pos="0"/>
        </w:tabs>
        <w:ind w:left="1770" w:hanging="330"/>
      </w:pPr>
      <w:rPr>
        <w:rFonts w:ascii="Helvetica Neue" w:hAnsi="Helvetica Neue" w:cs="Arial Unicode MS" w:hint="default"/>
        <w:caps w:val="0"/>
        <w:smallCaps w:val="0"/>
        <w:strike w:val="0"/>
        <w:dstrike w:val="0"/>
        <w:outline w:val="0"/>
        <w:spacing w:val="0"/>
        <w:w w:val="100"/>
        <w:kern w:val="1"/>
        <w:position w:val="0"/>
        <w:sz w:val="22"/>
        <w:szCs w:val="22"/>
        <w:vertAlign w:val="baseline"/>
        <w:em w:val="none"/>
      </w:rPr>
    </w:lvl>
    <w:lvl w:ilvl="5">
      <w:start w:val="1"/>
      <w:numFmt w:val="decimal"/>
      <w:lvlText w:val="%6."/>
      <w:lvlJc w:val="left"/>
      <w:pPr>
        <w:tabs>
          <w:tab w:val="num" w:pos="0"/>
        </w:tabs>
        <w:ind w:left="2130" w:hanging="330"/>
      </w:pPr>
      <w:rPr>
        <w:rFonts w:ascii="Helvetica Neue" w:hAnsi="Helvetica Neue" w:cs="Arial Unicode MS" w:hint="default"/>
        <w:caps w:val="0"/>
        <w:smallCaps w:val="0"/>
        <w:strike w:val="0"/>
        <w:dstrike w:val="0"/>
        <w:outline w:val="0"/>
        <w:spacing w:val="0"/>
        <w:w w:val="100"/>
        <w:kern w:val="1"/>
        <w:position w:val="0"/>
        <w:sz w:val="22"/>
        <w:szCs w:val="22"/>
        <w:vertAlign w:val="baseline"/>
        <w:em w:val="none"/>
      </w:rPr>
    </w:lvl>
    <w:lvl w:ilvl="6">
      <w:start w:val="1"/>
      <w:numFmt w:val="decimal"/>
      <w:lvlText w:val="%7."/>
      <w:lvlJc w:val="left"/>
      <w:pPr>
        <w:tabs>
          <w:tab w:val="num" w:pos="0"/>
        </w:tabs>
        <w:ind w:left="2490" w:hanging="330"/>
      </w:pPr>
      <w:rPr>
        <w:rFonts w:ascii="Helvetica Neue" w:hAnsi="Helvetica Neue" w:cs="Arial Unicode MS" w:hint="default"/>
        <w:caps w:val="0"/>
        <w:smallCaps w:val="0"/>
        <w:strike w:val="0"/>
        <w:dstrike w:val="0"/>
        <w:outline w:val="0"/>
        <w:spacing w:val="0"/>
        <w:w w:val="100"/>
        <w:kern w:val="1"/>
        <w:position w:val="0"/>
        <w:sz w:val="22"/>
        <w:szCs w:val="22"/>
        <w:vertAlign w:val="baseline"/>
        <w:em w:val="none"/>
      </w:rPr>
    </w:lvl>
    <w:lvl w:ilvl="7">
      <w:start w:val="1"/>
      <w:numFmt w:val="decimal"/>
      <w:lvlText w:val="%8."/>
      <w:lvlJc w:val="left"/>
      <w:pPr>
        <w:tabs>
          <w:tab w:val="num" w:pos="0"/>
        </w:tabs>
        <w:ind w:left="2850" w:hanging="330"/>
      </w:pPr>
      <w:rPr>
        <w:rFonts w:ascii="Helvetica Neue" w:hAnsi="Helvetica Neue" w:cs="Arial Unicode MS" w:hint="default"/>
        <w:caps w:val="0"/>
        <w:smallCaps w:val="0"/>
        <w:strike w:val="0"/>
        <w:dstrike w:val="0"/>
        <w:outline w:val="0"/>
        <w:spacing w:val="0"/>
        <w:w w:val="100"/>
        <w:kern w:val="1"/>
        <w:position w:val="0"/>
        <w:sz w:val="22"/>
        <w:szCs w:val="22"/>
        <w:vertAlign w:val="baseline"/>
        <w:em w:val="none"/>
      </w:rPr>
    </w:lvl>
    <w:lvl w:ilvl="8">
      <w:start w:val="1"/>
      <w:numFmt w:val="decimal"/>
      <w:lvlText w:val="%9."/>
      <w:lvlJc w:val="left"/>
      <w:pPr>
        <w:tabs>
          <w:tab w:val="num" w:pos="0"/>
        </w:tabs>
        <w:ind w:left="3210" w:hanging="330"/>
      </w:pPr>
      <w:rPr>
        <w:rFonts w:ascii="Helvetica Neue" w:hAnsi="Helvetica Neue" w:cs="Arial Unicode MS" w:hint="default"/>
        <w:caps w:val="0"/>
        <w:smallCaps w:val="0"/>
        <w:strike w:val="0"/>
        <w:dstrike w:val="0"/>
        <w:outline w:val="0"/>
        <w:spacing w:val="0"/>
        <w:w w:val="100"/>
        <w:kern w:val="1"/>
        <w:position w:val="0"/>
        <w:sz w:val="22"/>
        <w:szCs w:val="22"/>
        <w:vertAlign w:val="baseline"/>
        <w:em w:val="none"/>
      </w:rPr>
    </w:lvl>
  </w:abstractNum>
  <w:abstractNum w:abstractNumId="2" w15:restartNumberingAfterBreak="0">
    <w:nsid w:val="08990384"/>
    <w:multiLevelType w:val="hybridMultilevel"/>
    <w:tmpl w:val="49B4DC7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1231016"/>
    <w:multiLevelType w:val="hybridMultilevel"/>
    <w:tmpl w:val="D5A476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7F07D4"/>
    <w:multiLevelType w:val="hybridMultilevel"/>
    <w:tmpl w:val="753C18F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5" w15:restartNumberingAfterBreak="0">
    <w:nsid w:val="18595048"/>
    <w:multiLevelType w:val="hybridMultilevel"/>
    <w:tmpl w:val="49B4DC7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A851178"/>
    <w:multiLevelType w:val="hybridMultilevel"/>
    <w:tmpl w:val="AA2CC652"/>
    <w:lvl w:ilvl="0" w:tplc="C5640428">
      <w:start w:val="2"/>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 w15:restartNumberingAfterBreak="0">
    <w:nsid w:val="1EB0011C"/>
    <w:multiLevelType w:val="hybridMultilevel"/>
    <w:tmpl w:val="C5F6F40A"/>
    <w:lvl w:ilvl="0" w:tplc="2D7C665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D53A71"/>
    <w:multiLevelType w:val="hybridMultilevel"/>
    <w:tmpl w:val="0332DC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60430A4"/>
    <w:multiLevelType w:val="hybridMultilevel"/>
    <w:tmpl w:val="705263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285035D5"/>
    <w:multiLevelType w:val="hybridMultilevel"/>
    <w:tmpl w:val="7E120B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9638F7"/>
    <w:multiLevelType w:val="hybridMultilevel"/>
    <w:tmpl w:val="88105C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12" w15:restartNumberingAfterBreak="0">
    <w:nsid w:val="332B4004"/>
    <w:multiLevelType w:val="hybridMultilevel"/>
    <w:tmpl w:val="A0C641D6"/>
    <w:lvl w:ilvl="0" w:tplc="0628953C">
      <w:start w:val="1"/>
      <w:numFmt w:val="decimal"/>
      <w:lvlText w:val="%1."/>
      <w:lvlJc w:val="left"/>
      <w:pPr>
        <w:ind w:left="720" w:hanging="360"/>
      </w:pPr>
      <w:rPr>
        <w:rFonts w:ascii="Calibri" w:eastAsia="Times New Roman" w:hAnsi="Calibri"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50A798C"/>
    <w:multiLevelType w:val="hybridMultilevel"/>
    <w:tmpl w:val="0332DC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68C469A"/>
    <w:multiLevelType w:val="hybridMultilevel"/>
    <w:tmpl w:val="8B48B0DC"/>
    <w:lvl w:ilvl="0" w:tplc="87AC66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AC7260B"/>
    <w:multiLevelType w:val="hybridMultilevel"/>
    <w:tmpl w:val="DD86EFF0"/>
    <w:lvl w:ilvl="0" w:tplc="4ABEE5A0">
      <w:start w:val="1"/>
      <w:numFmt w:val="decimal"/>
      <w:lvlText w:val="%1."/>
      <w:lvlJc w:val="left"/>
      <w:pPr>
        <w:ind w:left="1740" w:hanging="10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3C327791"/>
    <w:multiLevelType w:val="hybridMultilevel"/>
    <w:tmpl w:val="899C857C"/>
    <w:lvl w:ilvl="0" w:tplc="2D6E1C16">
      <w:start w:val="1"/>
      <w:numFmt w:val="bullet"/>
      <w:lvlText w:val="-"/>
      <w:lvlJc w:val="left"/>
      <w:pPr>
        <w:ind w:left="1146" w:hanging="360"/>
      </w:pPr>
      <w:rPr>
        <w:rFonts w:ascii="Arial" w:hAnsi="Arial" w:hint="default"/>
        <w:sz w:val="22"/>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3C6E128D"/>
    <w:multiLevelType w:val="multilevel"/>
    <w:tmpl w:val="B19A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061C7"/>
    <w:multiLevelType w:val="hybridMultilevel"/>
    <w:tmpl w:val="787EDFD6"/>
    <w:lvl w:ilvl="0" w:tplc="088C3E22">
      <w:start w:val="1"/>
      <w:numFmt w:val="decimal"/>
      <w:lvlText w:val="%1."/>
      <w:lvlJc w:val="left"/>
      <w:pPr>
        <w:ind w:left="-360" w:hanging="360"/>
      </w:pPr>
      <w:rPr>
        <w:rFonts w:hint="default"/>
        <w:b/>
        <w:color w:val="auto"/>
      </w:rPr>
    </w:lvl>
    <w:lvl w:ilvl="1" w:tplc="04150019">
      <w:start w:val="1"/>
      <w:numFmt w:val="lowerLetter"/>
      <w:lvlText w:val="%2."/>
      <w:lvlJc w:val="left"/>
      <w:pPr>
        <w:ind w:left="360" w:hanging="360"/>
      </w:pPr>
    </w:lvl>
    <w:lvl w:ilvl="2" w:tplc="0415001B">
      <w:start w:val="1"/>
      <w:numFmt w:val="lowerRoman"/>
      <w:lvlText w:val="%3."/>
      <w:lvlJc w:val="right"/>
      <w:pPr>
        <w:ind w:left="1080" w:hanging="180"/>
      </w:pPr>
    </w:lvl>
    <w:lvl w:ilvl="3" w:tplc="0415000F">
      <w:start w:val="1"/>
      <w:numFmt w:val="decimal"/>
      <w:lvlText w:val="%4."/>
      <w:lvlJc w:val="left"/>
      <w:pPr>
        <w:ind w:left="1800" w:hanging="360"/>
      </w:pPr>
    </w:lvl>
    <w:lvl w:ilvl="4" w:tplc="04150019">
      <w:start w:val="1"/>
      <w:numFmt w:val="lowerLetter"/>
      <w:lvlText w:val="%5."/>
      <w:lvlJc w:val="left"/>
      <w:pPr>
        <w:ind w:left="2520" w:hanging="360"/>
      </w:pPr>
    </w:lvl>
    <w:lvl w:ilvl="5" w:tplc="0415001B">
      <w:start w:val="1"/>
      <w:numFmt w:val="lowerRoman"/>
      <w:lvlText w:val="%6."/>
      <w:lvlJc w:val="right"/>
      <w:pPr>
        <w:ind w:left="3240" w:hanging="180"/>
      </w:pPr>
    </w:lvl>
    <w:lvl w:ilvl="6" w:tplc="0415000F">
      <w:start w:val="1"/>
      <w:numFmt w:val="decimal"/>
      <w:lvlText w:val="%7."/>
      <w:lvlJc w:val="left"/>
      <w:pPr>
        <w:ind w:left="3960" w:hanging="360"/>
      </w:pPr>
    </w:lvl>
    <w:lvl w:ilvl="7" w:tplc="04150019">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9" w15:restartNumberingAfterBreak="0">
    <w:nsid w:val="44B50722"/>
    <w:multiLevelType w:val="hybridMultilevel"/>
    <w:tmpl w:val="77B496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47193CEF"/>
    <w:multiLevelType w:val="hybridMultilevel"/>
    <w:tmpl w:val="EA321718"/>
    <w:lvl w:ilvl="0" w:tplc="67965A26">
      <w:start w:val="5"/>
      <w:numFmt w:val="bullet"/>
      <w:lvlText w:val=""/>
      <w:lvlJc w:val="left"/>
      <w:pPr>
        <w:ind w:left="720" w:hanging="360"/>
      </w:pPr>
      <w:rPr>
        <w:rFonts w:ascii="Symbol" w:eastAsia="Calibri"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47775BD1"/>
    <w:multiLevelType w:val="multilevel"/>
    <w:tmpl w:val="7772B114"/>
    <w:lvl w:ilvl="0">
      <w:start w:val="1"/>
      <w:numFmt w:val="decimal"/>
      <w:lvlText w:val="2.%1."/>
      <w:lvlJc w:val="left"/>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8D4703"/>
    <w:multiLevelType w:val="hybridMultilevel"/>
    <w:tmpl w:val="DBEA1E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230542C"/>
    <w:multiLevelType w:val="hybridMultilevel"/>
    <w:tmpl w:val="B7CEFE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81C0568"/>
    <w:multiLevelType w:val="hybridMultilevel"/>
    <w:tmpl w:val="794A8E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5D2D43E4"/>
    <w:multiLevelType w:val="hybridMultilevel"/>
    <w:tmpl w:val="9AB6BBE8"/>
    <w:lvl w:ilvl="0" w:tplc="1EE8FD5E">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6" w15:restartNumberingAfterBreak="0">
    <w:nsid w:val="64014C80"/>
    <w:multiLevelType w:val="hybridMultilevel"/>
    <w:tmpl w:val="3ED4C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4717C97"/>
    <w:multiLevelType w:val="hybridMultilevel"/>
    <w:tmpl w:val="7B4214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28" w15:restartNumberingAfterBreak="0">
    <w:nsid w:val="65F95816"/>
    <w:multiLevelType w:val="hybridMultilevel"/>
    <w:tmpl w:val="10DAEE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23A614D"/>
    <w:multiLevelType w:val="hybridMultilevel"/>
    <w:tmpl w:val="DFC64B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7F67950"/>
    <w:multiLevelType w:val="hybridMultilevel"/>
    <w:tmpl w:val="77FEC6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7A8D544A"/>
    <w:multiLevelType w:val="hybridMultilevel"/>
    <w:tmpl w:val="B3EC0482"/>
    <w:lvl w:ilvl="0" w:tplc="504A934C">
      <w:start w:val="1"/>
      <w:numFmt w:val="decimal"/>
      <w:lvlText w:val="%1."/>
      <w:lvlJc w:val="left"/>
      <w:pPr>
        <w:ind w:left="-360" w:hanging="360"/>
      </w:pPr>
      <w:rPr>
        <w:rFonts w:hint="default"/>
        <w:b/>
      </w:rPr>
    </w:lvl>
    <w:lvl w:ilvl="1" w:tplc="04150019">
      <w:start w:val="1"/>
      <w:numFmt w:val="lowerLetter"/>
      <w:lvlText w:val="%2."/>
      <w:lvlJc w:val="left"/>
      <w:pPr>
        <w:ind w:left="360" w:hanging="360"/>
      </w:pPr>
    </w:lvl>
    <w:lvl w:ilvl="2" w:tplc="04150017">
      <w:start w:val="1"/>
      <w:numFmt w:val="lowerLetter"/>
      <w:lvlText w:val="%3)"/>
      <w:lvlJc w:val="left"/>
      <w:pPr>
        <w:ind w:left="180" w:hanging="180"/>
      </w:pPr>
    </w:lvl>
    <w:lvl w:ilvl="3" w:tplc="0415000F">
      <w:start w:val="1"/>
      <w:numFmt w:val="decimal"/>
      <w:lvlText w:val="%4."/>
      <w:lvlJc w:val="left"/>
      <w:pPr>
        <w:ind w:left="1800" w:hanging="360"/>
      </w:pPr>
    </w:lvl>
    <w:lvl w:ilvl="4" w:tplc="04150019">
      <w:start w:val="1"/>
      <w:numFmt w:val="lowerLetter"/>
      <w:lvlText w:val="%5."/>
      <w:lvlJc w:val="left"/>
      <w:pPr>
        <w:ind w:left="2520" w:hanging="360"/>
      </w:pPr>
    </w:lvl>
    <w:lvl w:ilvl="5" w:tplc="0415001B">
      <w:start w:val="1"/>
      <w:numFmt w:val="lowerRoman"/>
      <w:lvlText w:val="%6."/>
      <w:lvlJc w:val="right"/>
      <w:pPr>
        <w:ind w:left="3240" w:hanging="180"/>
      </w:pPr>
    </w:lvl>
    <w:lvl w:ilvl="6" w:tplc="0415000F">
      <w:start w:val="1"/>
      <w:numFmt w:val="decimal"/>
      <w:lvlText w:val="%7."/>
      <w:lvlJc w:val="left"/>
      <w:pPr>
        <w:ind w:left="3960" w:hanging="360"/>
      </w:pPr>
    </w:lvl>
    <w:lvl w:ilvl="7" w:tplc="04150019">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32" w15:restartNumberingAfterBreak="0">
    <w:nsid w:val="7B135618"/>
    <w:multiLevelType w:val="hybridMultilevel"/>
    <w:tmpl w:val="8F067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3"/>
  </w:num>
  <w:num w:numId="4">
    <w:abstractNumId w:val="3"/>
  </w:num>
  <w:num w:numId="5">
    <w:abstractNumId w:val="26"/>
  </w:num>
  <w:num w:numId="6">
    <w:abstractNumId w:val="22"/>
  </w:num>
  <w:num w:numId="7">
    <w:abstractNumId w:val="29"/>
  </w:num>
  <w:num w:numId="8">
    <w:abstractNumId w:val="15"/>
  </w:num>
  <w:num w:numId="9">
    <w:abstractNumId w:val="24"/>
  </w:num>
  <w:num w:numId="10">
    <w:abstractNumId w:val="9"/>
  </w:num>
  <w:num w:numId="11">
    <w:abstractNumId w:val="20"/>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1"/>
  </w:num>
  <w:num w:numId="15">
    <w:abstractNumId w:val="4"/>
  </w:num>
  <w:num w:numId="16">
    <w:abstractNumId w:val="0"/>
  </w:num>
  <w:num w:numId="17">
    <w:abstractNumId w:val="1"/>
  </w:num>
  <w:num w:numId="1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5"/>
  </w:num>
  <w:num w:numId="22">
    <w:abstractNumId w:val="19"/>
  </w:num>
  <w:num w:numId="23">
    <w:abstractNumId w:val="18"/>
  </w:num>
  <w:num w:numId="24">
    <w:abstractNumId w:val="31"/>
  </w:num>
  <w:num w:numId="25">
    <w:abstractNumId w:val="14"/>
  </w:num>
  <w:num w:numId="26">
    <w:abstractNumId w:val="16"/>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2"/>
  </w:num>
  <w:num w:numId="30">
    <w:abstractNumId w:val="5"/>
  </w:num>
  <w:num w:numId="31">
    <w:abstractNumId w:val="21"/>
  </w:num>
  <w:num w:numId="32">
    <w:abstractNumId w:val="32"/>
  </w:num>
  <w:num w:numId="33">
    <w:abstractNumId w:val="23"/>
  </w:num>
  <w:num w:numId="34">
    <w:abstractNumId w:val="28"/>
  </w:num>
  <w:num w:numId="35">
    <w:abstractNumId w:val="10"/>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E09"/>
    <w:rsid w:val="0002419A"/>
    <w:rsid w:val="00045BE5"/>
    <w:rsid w:val="000E2C37"/>
    <w:rsid w:val="00241DE3"/>
    <w:rsid w:val="00242AFE"/>
    <w:rsid w:val="00264EEB"/>
    <w:rsid w:val="002F115B"/>
    <w:rsid w:val="003165C8"/>
    <w:rsid w:val="0034175E"/>
    <w:rsid w:val="00440BF5"/>
    <w:rsid w:val="00446D74"/>
    <w:rsid w:val="004B3209"/>
    <w:rsid w:val="004B3B9D"/>
    <w:rsid w:val="005F00D4"/>
    <w:rsid w:val="00622947"/>
    <w:rsid w:val="00635C35"/>
    <w:rsid w:val="006805DD"/>
    <w:rsid w:val="006E7307"/>
    <w:rsid w:val="006F0C11"/>
    <w:rsid w:val="007A7C61"/>
    <w:rsid w:val="007C5E61"/>
    <w:rsid w:val="00843755"/>
    <w:rsid w:val="00866A47"/>
    <w:rsid w:val="008B2953"/>
    <w:rsid w:val="00904907"/>
    <w:rsid w:val="009307AF"/>
    <w:rsid w:val="00931CCC"/>
    <w:rsid w:val="009F2E09"/>
    <w:rsid w:val="00A96582"/>
    <w:rsid w:val="00AA42D2"/>
    <w:rsid w:val="00AC648E"/>
    <w:rsid w:val="00B43B1A"/>
    <w:rsid w:val="00B64946"/>
    <w:rsid w:val="00BA1F3F"/>
    <w:rsid w:val="00C80055"/>
    <w:rsid w:val="00C83C1B"/>
    <w:rsid w:val="00CE1CF6"/>
    <w:rsid w:val="00D3466E"/>
    <w:rsid w:val="00DD21AB"/>
    <w:rsid w:val="00F33883"/>
    <w:rsid w:val="00F367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E3851"/>
  <w15:chartTrackingRefBased/>
  <w15:docId w15:val="{C1F4C503-6F45-4FC6-9FE9-A1F293B99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F2E09"/>
    <w:pPr>
      <w:suppressAutoHyphens/>
      <w:spacing w:after="0" w:line="240" w:lineRule="auto"/>
    </w:pPr>
    <w:rPr>
      <w:rFonts w:ascii="Times New Roman" w:eastAsia="Times New Roman" w:hAnsi="Times New Roman" w:cs="Times New Roman"/>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
    <w:basedOn w:val="Normalny"/>
    <w:link w:val="AkapitzlistZnak"/>
    <w:uiPriority w:val="34"/>
    <w:qFormat/>
    <w:rsid w:val="00AC648E"/>
    <w:pPr>
      <w:suppressAutoHyphens w:val="0"/>
      <w:spacing w:after="160" w:line="256" w:lineRule="auto"/>
      <w:ind w:left="720"/>
      <w:contextualSpacing/>
    </w:pPr>
    <w:rPr>
      <w:rFonts w:asciiTheme="minorHAnsi" w:eastAsiaTheme="minorHAnsi" w:hAnsiTheme="minorHAnsi" w:cstheme="minorBidi"/>
      <w:sz w:val="22"/>
      <w:szCs w:val="22"/>
      <w:lang w:eastAsia="en-US"/>
    </w:rPr>
  </w:style>
  <w:style w:type="paragraph" w:customStyle="1" w:styleId="msonormal0">
    <w:name w:val="msonormal"/>
    <w:basedOn w:val="Normalny"/>
    <w:rsid w:val="00843755"/>
    <w:pPr>
      <w:suppressAutoHyphens w:val="0"/>
      <w:spacing w:before="100" w:beforeAutospacing="1" w:after="100" w:afterAutospacing="1"/>
    </w:pPr>
    <w:rPr>
      <w:lang w:eastAsia="pl-PL"/>
    </w:rPr>
  </w:style>
  <w:style w:type="paragraph" w:styleId="Nagwek">
    <w:name w:val="header"/>
    <w:basedOn w:val="Normalny"/>
    <w:link w:val="NagwekZnak"/>
    <w:unhideWhenUsed/>
    <w:rsid w:val="00843755"/>
    <w:pPr>
      <w:tabs>
        <w:tab w:val="center" w:pos="4320"/>
        <w:tab w:val="right" w:pos="8640"/>
      </w:tabs>
      <w:spacing w:line="280" w:lineRule="exact"/>
    </w:pPr>
    <w:rPr>
      <w:rFonts w:ascii="GE Inspira" w:eastAsia="Times" w:hAnsi="GE Inspira"/>
      <w:kern w:val="8"/>
      <w:sz w:val="22"/>
      <w:szCs w:val="22"/>
      <w:lang w:val="en-US" w:eastAsia="en-US"/>
    </w:rPr>
  </w:style>
  <w:style w:type="character" w:customStyle="1" w:styleId="NagwekZnak">
    <w:name w:val="Nagłówek Znak"/>
    <w:basedOn w:val="Domylnaczcionkaakapitu"/>
    <w:link w:val="Nagwek"/>
    <w:rsid w:val="00843755"/>
    <w:rPr>
      <w:rFonts w:ascii="GE Inspira" w:eastAsia="Times" w:hAnsi="GE Inspira" w:cs="Times New Roman"/>
      <w:kern w:val="8"/>
      <w:lang w:val="en-US"/>
    </w:rPr>
  </w:style>
  <w:style w:type="paragraph" w:styleId="Zwykytekst">
    <w:name w:val="Plain Text"/>
    <w:basedOn w:val="Normalny"/>
    <w:link w:val="ZwykytekstZnak"/>
    <w:uiPriority w:val="99"/>
    <w:semiHidden/>
    <w:unhideWhenUsed/>
    <w:rsid w:val="00843755"/>
    <w:pPr>
      <w:suppressAutoHyphens w:val="0"/>
    </w:pPr>
    <w:rPr>
      <w:rFonts w:ascii="Calibri" w:eastAsia="Calibri" w:hAnsi="Calibri"/>
      <w:sz w:val="22"/>
      <w:szCs w:val="22"/>
      <w:lang w:eastAsia="en-US"/>
    </w:rPr>
  </w:style>
  <w:style w:type="character" w:customStyle="1" w:styleId="ZwykytekstZnak">
    <w:name w:val="Zwykły tekst Znak"/>
    <w:basedOn w:val="Domylnaczcionkaakapitu"/>
    <w:link w:val="Zwykytekst"/>
    <w:uiPriority w:val="99"/>
    <w:semiHidden/>
    <w:rsid w:val="00843755"/>
    <w:rPr>
      <w:rFonts w:ascii="Calibri" w:eastAsia="Calibri" w:hAnsi="Calibri" w:cs="Times New Roman"/>
    </w:rPr>
  </w:style>
  <w:style w:type="paragraph" w:customStyle="1" w:styleId="ListParagraph2">
    <w:name w:val="List Paragraph2"/>
    <w:basedOn w:val="Normalny"/>
    <w:rsid w:val="00843755"/>
    <w:pPr>
      <w:ind w:left="708"/>
    </w:pPr>
    <w:rPr>
      <w:rFonts w:eastAsia="Calibri"/>
    </w:rPr>
  </w:style>
  <w:style w:type="paragraph" w:styleId="Stopka">
    <w:name w:val="footer"/>
    <w:basedOn w:val="Normalny"/>
    <w:link w:val="StopkaZnak"/>
    <w:uiPriority w:val="99"/>
    <w:unhideWhenUsed/>
    <w:rsid w:val="00843755"/>
    <w:pPr>
      <w:tabs>
        <w:tab w:val="center" w:pos="4536"/>
        <w:tab w:val="right" w:pos="9072"/>
      </w:tabs>
    </w:pPr>
  </w:style>
  <w:style w:type="character" w:customStyle="1" w:styleId="StopkaZnak">
    <w:name w:val="Stopka Znak"/>
    <w:basedOn w:val="Domylnaczcionkaakapitu"/>
    <w:link w:val="Stopka"/>
    <w:uiPriority w:val="99"/>
    <w:rsid w:val="00843755"/>
    <w:rPr>
      <w:rFonts w:ascii="Times New Roman" w:eastAsia="Times New Roman" w:hAnsi="Times New Roman" w:cs="Times New Roman"/>
      <w:sz w:val="24"/>
      <w:szCs w:val="24"/>
      <w:lang w:eastAsia="ar-SA"/>
    </w:rPr>
  </w:style>
  <w:style w:type="paragraph" w:customStyle="1" w:styleId="Tekstpodstawowywcity1">
    <w:name w:val="Tekst podstawowy wcięty1"/>
    <w:rsid w:val="009307AF"/>
    <w:pPr>
      <w:spacing w:after="0" w:line="240" w:lineRule="auto"/>
      <w:ind w:firstLine="540"/>
    </w:pPr>
    <w:rPr>
      <w:rFonts w:ascii="Times New Roman" w:eastAsia="Arial Unicode MS" w:hAnsi="Times New Roman" w:cs="Arial Unicode MS"/>
      <w:color w:val="000000"/>
      <w:kern w:val="1"/>
      <w:sz w:val="24"/>
      <w:szCs w:val="24"/>
      <w:lang w:eastAsia="zh-CN" w:bidi="hi-IN"/>
    </w:rPr>
  </w:style>
  <w:style w:type="paragraph" w:customStyle="1" w:styleId="Stopka1">
    <w:name w:val="Stopka1"/>
    <w:rsid w:val="009307AF"/>
    <w:pPr>
      <w:spacing w:after="0" w:line="240" w:lineRule="auto"/>
    </w:pPr>
    <w:rPr>
      <w:rFonts w:ascii="Times New Roman" w:eastAsia="Arial Unicode MS" w:hAnsi="Times New Roman" w:cs="Arial Unicode MS"/>
      <w:color w:val="000000"/>
      <w:kern w:val="1"/>
      <w:sz w:val="24"/>
      <w:szCs w:val="24"/>
      <w:lang w:eastAsia="zh-CN" w:bidi="hi-IN"/>
    </w:rPr>
  </w:style>
  <w:style w:type="paragraph" w:customStyle="1" w:styleId="Normalny1">
    <w:name w:val="Normalny1"/>
    <w:rsid w:val="009307AF"/>
    <w:pPr>
      <w:spacing w:after="0" w:line="240" w:lineRule="auto"/>
    </w:pPr>
    <w:rPr>
      <w:rFonts w:ascii="Times New Roman" w:eastAsia="Arial Unicode MS" w:hAnsi="Times New Roman" w:cs="Arial Unicode MS"/>
      <w:color w:val="000000"/>
      <w:kern w:val="1"/>
      <w:sz w:val="24"/>
      <w:szCs w:val="24"/>
      <w:lang w:eastAsia="zh-CN" w:bidi="hi-IN"/>
    </w:rPr>
  </w:style>
  <w:style w:type="paragraph" w:customStyle="1" w:styleId="Default">
    <w:name w:val="Default"/>
    <w:rsid w:val="00931CCC"/>
    <w:pPr>
      <w:autoSpaceDE w:val="0"/>
      <w:autoSpaceDN w:val="0"/>
      <w:adjustRightInd w:val="0"/>
      <w:spacing w:after="0" w:line="240" w:lineRule="auto"/>
    </w:pPr>
    <w:rPr>
      <w:rFonts w:ascii="Times New Roman" w:hAnsi="Times New Roman" w:cs="Times New Roman"/>
      <w:color w:val="000000"/>
      <w:sz w:val="24"/>
      <w:szCs w:val="24"/>
    </w:rPr>
  </w:style>
  <w:style w:type="paragraph" w:styleId="Tekstkomentarza">
    <w:name w:val="annotation text"/>
    <w:basedOn w:val="Normalny"/>
    <w:link w:val="TekstkomentarzaZnak"/>
    <w:uiPriority w:val="99"/>
    <w:unhideWhenUsed/>
    <w:rsid w:val="00622947"/>
    <w:pPr>
      <w:suppressAutoHyphens w:val="0"/>
    </w:pPr>
    <w:rPr>
      <w:rFonts w:ascii="Arial" w:hAnsi="Arial"/>
      <w:sz w:val="20"/>
      <w:szCs w:val="20"/>
      <w:lang w:val="de-DE" w:eastAsia="de-DE"/>
    </w:rPr>
  </w:style>
  <w:style w:type="character" w:customStyle="1" w:styleId="TekstkomentarzaZnak">
    <w:name w:val="Tekst komentarza Znak"/>
    <w:basedOn w:val="Domylnaczcionkaakapitu"/>
    <w:link w:val="Tekstkomentarza"/>
    <w:uiPriority w:val="99"/>
    <w:rsid w:val="00622947"/>
    <w:rPr>
      <w:rFonts w:ascii="Arial" w:eastAsia="Times New Roman" w:hAnsi="Arial" w:cs="Times New Roman"/>
      <w:sz w:val="20"/>
      <w:szCs w:val="20"/>
      <w:lang w:val="de-DE" w:eastAsia="de-DE"/>
    </w:rPr>
  </w:style>
  <w:style w:type="paragraph" w:styleId="Tekstpodstawowy">
    <w:name w:val="Body Text"/>
    <w:basedOn w:val="Normalny"/>
    <w:link w:val="TekstpodstawowyZnak"/>
    <w:semiHidden/>
    <w:unhideWhenUsed/>
    <w:rsid w:val="00622947"/>
    <w:pPr>
      <w:suppressAutoHyphens w:val="0"/>
      <w:spacing w:after="120"/>
    </w:pPr>
    <w:rPr>
      <w:rFonts w:ascii="Arial" w:hAnsi="Arial"/>
      <w:sz w:val="20"/>
      <w:szCs w:val="20"/>
      <w:lang w:val="de-DE" w:eastAsia="de-DE"/>
    </w:rPr>
  </w:style>
  <w:style w:type="character" w:customStyle="1" w:styleId="TekstpodstawowyZnak">
    <w:name w:val="Tekst podstawowy Znak"/>
    <w:basedOn w:val="Domylnaczcionkaakapitu"/>
    <w:link w:val="Tekstpodstawowy"/>
    <w:semiHidden/>
    <w:rsid w:val="00622947"/>
    <w:rPr>
      <w:rFonts w:ascii="Arial" w:eastAsia="Times New Roman" w:hAnsi="Arial" w:cs="Times New Roman"/>
      <w:sz w:val="20"/>
      <w:szCs w:val="20"/>
      <w:lang w:val="de-DE" w:eastAsia="de-DE"/>
    </w:rPr>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qFormat/>
    <w:locked/>
    <w:rsid w:val="00622947"/>
  </w:style>
  <w:style w:type="paragraph" w:customStyle="1" w:styleId="scfbrieftext">
    <w:name w:val="scfbrieftext"/>
    <w:basedOn w:val="Normalny"/>
    <w:rsid w:val="00622947"/>
    <w:pPr>
      <w:suppressAutoHyphens w:val="0"/>
    </w:pPr>
    <w:rPr>
      <w:rFonts w:ascii="Calibri" w:hAnsi="Calibri"/>
      <w:sz w:val="20"/>
      <w:szCs w:val="20"/>
      <w:lang w:val="en-US" w:eastAsia="de-DE"/>
    </w:rPr>
  </w:style>
  <w:style w:type="paragraph" w:customStyle="1" w:styleId="DraeBodytext">
    <w:name w:val="Drae_Bodytext"/>
    <w:basedOn w:val="Tekstpodstawowy"/>
    <w:rsid w:val="00622947"/>
    <w:pPr>
      <w:spacing w:after="0" w:line="320" w:lineRule="exact"/>
    </w:pPr>
  </w:style>
  <w:style w:type="character" w:styleId="Hipercze">
    <w:name w:val="Hyperlink"/>
    <w:basedOn w:val="Domylnaczcionkaakapitu"/>
    <w:rsid w:val="00866A47"/>
    <w:rPr>
      <w:color w:val="0066CC"/>
      <w:u w:val="single"/>
    </w:rPr>
  </w:style>
  <w:style w:type="character" w:customStyle="1" w:styleId="Bodytext2">
    <w:name w:val="Body text (2)_"/>
    <w:basedOn w:val="Domylnaczcionkaakapitu"/>
    <w:rsid w:val="00866A47"/>
    <w:rPr>
      <w:rFonts w:ascii="Calibri" w:eastAsia="Calibri" w:hAnsi="Calibri" w:cs="Calibri"/>
      <w:b w:val="0"/>
      <w:bCs w:val="0"/>
      <w:i w:val="0"/>
      <w:iCs w:val="0"/>
      <w:smallCaps w:val="0"/>
      <w:strike w:val="0"/>
      <w:sz w:val="21"/>
      <w:szCs w:val="21"/>
      <w:u w:val="none"/>
    </w:rPr>
  </w:style>
  <w:style w:type="character" w:customStyle="1" w:styleId="Bodytext4">
    <w:name w:val="Body text (4)_"/>
    <w:basedOn w:val="Domylnaczcionkaakapitu"/>
    <w:link w:val="Bodytext40"/>
    <w:rsid w:val="00866A47"/>
    <w:rPr>
      <w:rFonts w:ascii="Calibri" w:eastAsia="Calibri" w:hAnsi="Calibri" w:cs="Calibri"/>
      <w:sz w:val="24"/>
      <w:szCs w:val="24"/>
      <w:shd w:val="clear" w:color="auto" w:fill="FFFFFF"/>
    </w:rPr>
  </w:style>
  <w:style w:type="character" w:customStyle="1" w:styleId="Bodytext2Bold">
    <w:name w:val="Body text (2) + Bold"/>
    <w:basedOn w:val="Bodytext2"/>
    <w:rsid w:val="00866A47"/>
    <w:rPr>
      <w:rFonts w:ascii="Calibri" w:eastAsia="Calibri" w:hAnsi="Calibri" w:cs="Calibri"/>
      <w:b/>
      <w:bCs/>
      <w:i w:val="0"/>
      <w:iCs w:val="0"/>
      <w:smallCaps w:val="0"/>
      <w:strike w:val="0"/>
      <w:color w:val="000000"/>
      <w:spacing w:val="0"/>
      <w:w w:val="100"/>
      <w:position w:val="0"/>
      <w:sz w:val="21"/>
      <w:szCs w:val="21"/>
      <w:u w:val="none"/>
      <w:lang w:val="pl-PL" w:eastAsia="pl-PL" w:bidi="pl-PL"/>
    </w:rPr>
  </w:style>
  <w:style w:type="character" w:customStyle="1" w:styleId="Bodytext20">
    <w:name w:val="Body text (2)"/>
    <w:basedOn w:val="Bodytext2"/>
    <w:rsid w:val="00866A47"/>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paragraph" w:customStyle="1" w:styleId="Bodytext40">
    <w:name w:val="Body text (4)"/>
    <w:basedOn w:val="Normalny"/>
    <w:link w:val="Bodytext4"/>
    <w:rsid w:val="00866A47"/>
    <w:pPr>
      <w:widowControl w:val="0"/>
      <w:shd w:val="clear" w:color="auto" w:fill="FFFFFF"/>
      <w:suppressAutoHyphens w:val="0"/>
      <w:spacing w:before="2820" w:line="293" w:lineRule="exact"/>
      <w:jc w:val="center"/>
    </w:pPr>
    <w:rPr>
      <w:rFonts w:ascii="Calibri" w:eastAsia="Calibr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382158">
      <w:bodyDiv w:val="1"/>
      <w:marLeft w:val="0"/>
      <w:marRight w:val="0"/>
      <w:marTop w:val="0"/>
      <w:marBottom w:val="0"/>
      <w:divBdr>
        <w:top w:val="none" w:sz="0" w:space="0" w:color="auto"/>
        <w:left w:val="none" w:sz="0" w:space="0" w:color="auto"/>
        <w:bottom w:val="none" w:sz="0" w:space="0" w:color="auto"/>
        <w:right w:val="none" w:sz="0" w:space="0" w:color="auto"/>
      </w:divBdr>
    </w:div>
    <w:div w:id="915944504">
      <w:bodyDiv w:val="1"/>
      <w:marLeft w:val="0"/>
      <w:marRight w:val="0"/>
      <w:marTop w:val="0"/>
      <w:marBottom w:val="0"/>
      <w:divBdr>
        <w:top w:val="none" w:sz="0" w:space="0" w:color="auto"/>
        <w:left w:val="none" w:sz="0" w:space="0" w:color="auto"/>
        <w:bottom w:val="none" w:sz="0" w:space="0" w:color="auto"/>
        <w:right w:val="none" w:sz="0" w:space="0" w:color="auto"/>
      </w:divBdr>
    </w:div>
    <w:div w:id="1193421310">
      <w:bodyDiv w:val="1"/>
      <w:marLeft w:val="0"/>
      <w:marRight w:val="0"/>
      <w:marTop w:val="0"/>
      <w:marBottom w:val="0"/>
      <w:divBdr>
        <w:top w:val="none" w:sz="0" w:space="0" w:color="auto"/>
        <w:left w:val="none" w:sz="0" w:space="0" w:color="auto"/>
        <w:bottom w:val="none" w:sz="0" w:space="0" w:color="auto"/>
        <w:right w:val="none" w:sz="0" w:space="0" w:color="auto"/>
      </w:divBdr>
    </w:div>
    <w:div w:id="1576278513">
      <w:bodyDiv w:val="1"/>
      <w:marLeft w:val="0"/>
      <w:marRight w:val="0"/>
      <w:marTop w:val="0"/>
      <w:marBottom w:val="0"/>
      <w:divBdr>
        <w:top w:val="none" w:sz="0" w:space="0" w:color="auto"/>
        <w:left w:val="none" w:sz="0" w:space="0" w:color="auto"/>
        <w:bottom w:val="none" w:sz="0" w:space="0" w:color="auto"/>
        <w:right w:val="none" w:sz="0" w:space="0" w:color="auto"/>
      </w:divBdr>
    </w:div>
    <w:div w:id="2055158161">
      <w:bodyDiv w:val="1"/>
      <w:marLeft w:val="0"/>
      <w:marRight w:val="0"/>
      <w:marTop w:val="0"/>
      <w:marBottom w:val="0"/>
      <w:divBdr>
        <w:top w:val="none" w:sz="0" w:space="0" w:color="auto"/>
        <w:left w:val="none" w:sz="0" w:space="0" w:color="auto"/>
        <w:bottom w:val="none" w:sz="0" w:space="0" w:color="auto"/>
        <w:right w:val="none" w:sz="0" w:space="0" w:color="auto"/>
      </w:divBdr>
    </w:div>
    <w:div w:id="21328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80F13-6547-419D-BF33-766510A71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75</Pages>
  <Words>28981</Words>
  <Characters>173887</Characters>
  <Application>Microsoft Office Word</Application>
  <DocSecurity>0</DocSecurity>
  <Lines>1449</Lines>
  <Paragraphs>404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bgolbiak@msws.pl</dc:creator>
  <cp:keywords/>
  <dc:description/>
  <cp:lastModifiedBy>bgolbiak@msws.pl</cp:lastModifiedBy>
  <cp:revision>18</cp:revision>
  <dcterms:created xsi:type="dcterms:W3CDTF">2018-06-04T08:25:00Z</dcterms:created>
  <dcterms:modified xsi:type="dcterms:W3CDTF">2018-06-15T07:56:00Z</dcterms:modified>
</cp:coreProperties>
</file>