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18588510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5474A4">
        <w:rPr>
          <w:rFonts w:asciiTheme="minorHAnsi" w:hAnsiTheme="minorHAnsi" w:cstheme="minorHAnsi"/>
        </w:rPr>
        <w:t>1</w:t>
      </w:r>
      <w:r w:rsidR="00C421D2">
        <w:rPr>
          <w:rFonts w:asciiTheme="minorHAnsi" w:hAnsiTheme="minorHAnsi" w:cstheme="minorHAnsi"/>
        </w:rPr>
        <w:t>1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6FAE445E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7B30E4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C421D2">
        <w:rPr>
          <w:rFonts w:asciiTheme="minorHAnsi" w:hAnsiTheme="minorHAnsi"/>
          <w:sz w:val="22"/>
        </w:rPr>
        <w:t>Technik terapeutycznych w terapii poznawczo-behawioralnej”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B30E4"/>
    <w:rsid w:val="007F3CC3"/>
    <w:rsid w:val="008218F0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421D2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2025-06-27T07:35:00Z</dcterms:created>
  <dcterms:modified xsi:type="dcterms:W3CDTF">2025-07-10T12:14:00Z</dcterms:modified>
</cp:coreProperties>
</file>