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1FC" w14:textId="2234B3DB" w:rsidR="00D67133" w:rsidRDefault="00D67133" w:rsidP="004216F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</w:p>
    <w:p w14:paraId="69B0A09B" w14:textId="28CCAA6A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682"/>
        <w:gridCol w:w="1617"/>
        <w:gridCol w:w="3354"/>
      </w:tblGrid>
      <w:tr w:rsidR="004216F3" w:rsidRPr="004216F3" w14:paraId="452D8006" w14:textId="77777777" w:rsidTr="002C150D">
        <w:trPr>
          <w:trHeight w:val="509"/>
        </w:trPr>
        <w:tc>
          <w:tcPr>
            <w:tcW w:w="691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682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354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2C150D">
        <w:trPr>
          <w:trHeight w:val="509"/>
        </w:trPr>
        <w:tc>
          <w:tcPr>
            <w:tcW w:w="691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682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1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354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2C150D">
        <w:trPr>
          <w:trHeight w:val="900"/>
        </w:trPr>
        <w:tc>
          <w:tcPr>
            <w:tcW w:w="691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682" w:type="dxa"/>
            <w:hideMark/>
          </w:tcPr>
          <w:p w14:paraId="3101F9E1" w14:textId="3E425A65" w:rsidR="004216F3" w:rsidRPr="004216F3" w:rsidRDefault="004216F3">
            <w:r w:rsidRPr="004216F3">
              <w:t xml:space="preserve">Okres gwarancji od daty podpisania protokołu odbioru, min. 24 [mies.]. Gwarancja obejmuje </w:t>
            </w:r>
            <w:r w:rsidR="00616B34">
              <w:t>wszystkie moduły dostarczonego oprogramowania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1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354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2C150D">
        <w:trPr>
          <w:trHeight w:val="1290"/>
        </w:trPr>
        <w:tc>
          <w:tcPr>
            <w:tcW w:w="691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682" w:type="dxa"/>
            <w:hideMark/>
          </w:tcPr>
          <w:p w14:paraId="31EF9A41" w14:textId="30948A3E" w:rsidR="004216F3" w:rsidRPr="004216F3" w:rsidRDefault="00616B34">
            <w:r>
              <w:t>Wykonawca</w:t>
            </w:r>
            <w:r w:rsidRPr="00616B34">
              <w:t xml:space="preserve"> zapewnia zgodność działania oprogramowania objętego Gwarancją ze specyfikacją tego oprogramowania i w tym celu podejmuje wszelkie możliwe starania, aby dostarczane przez niego oprogramowanie pozbawione było błędów, które utrudniają lub uniemożliwiają jego efektywne wykorzystywanie </w:t>
            </w:r>
            <w:r w:rsidR="002C150D">
              <w:t xml:space="preserve">przez </w:t>
            </w:r>
            <w:r w:rsidRPr="00616B34">
              <w:t>Użytkowników.</w:t>
            </w:r>
          </w:p>
        </w:tc>
        <w:tc>
          <w:tcPr>
            <w:tcW w:w="161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2C150D">
        <w:trPr>
          <w:trHeight w:val="349"/>
        </w:trPr>
        <w:tc>
          <w:tcPr>
            <w:tcW w:w="691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682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1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2C150D">
        <w:trPr>
          <w:trHeight w:val="600"/>
        </w:trPr>
        <w:tc>
          <w:tcPr>
            <w:tcW w:w="691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682" w:type="dxa"/>
            <w:hideMark/>
          </w:tcPr>
          <w:p w14:paraId="094579A0" w14:textId="6044586F" w:rsidR="004216F3" w:rsidRPr="004216F3" w:rsidRDefault="004216F3">
            <w:r w:rsidRPr="004216F3">
              <w:t xml:space="preserve">Czas naprawy gwarancyjnej nieprzedłużającej okresu gwarancji, max. </w:t>
            </w:r>
            <w:r w:rsidR="00616B34">
              <w:t>2</w:t>
            </w:r>
            <w:r w:rsidR="00616B34" w:rsidRPr="004216F3">
              <w:t xml:space="preserve"> </w:t>
            </w:r>
            <w:r w:rsidRPr="004216F3">
              <w:t>dni</w:t>
            </w:r>
            <w:r w:rsidR="005D78E2">
              <w:t>.</w:t>
            </w:r>
          </w:p>
        </w:tc>
        <w:tc>
          <w:tcPr>
            <w:tcW w:w="161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2C150D">
        <w:trPr>
          <w:trHeight w:val="1075"/>
        </w:trPr>
        <w:tc>
          <w:tcPr>
            <w:tcW w:w="691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682" w:type="dxa"/>
          </w:tcPr>
          <w:p w14:paraId="5AAB902A" w14:textId="32DD8219" w:rsidR="00616B34" w:rsidRDefault="00616B34" w:rsidP="00616B34">
            <w:r>
              <w:t xml:space="preserve">W przypadku wystąpienia błędów w działaniu objętego Gwarancją oprogramowania - wynikających z błędów tkwiących w jego kopii, w tym w szczególności błędów kodu źródłowego, </w:t>
            </w:r>
            <w:r>
              <w:t>Wykonawca</w:t>
            </w:r>
            <w:r>
              <w:t xml:space="preserve"> zobowiązuje się , że w ramach swoich obowiązków gwarancyjnych nieodpłatnie:</w:t>
            </w:r>
          </w:p>
          <w:p w14:paraId="02C67DB8" w14:textId="77777777" w:rsidR="00616B34" w:rsidRDefault="00616B34" w:rsidP="00616B34">
            <w:r>
              <w:t>a) usunie błędy oprogramowania u Użytkownika, albo</w:t>
            </w:r>
          </w:p>
          <w:p w14:paraId="39C648BC" w14:textId="66FF34B6" w:rsidR="004216F3" w:rsidRPr="004216F3" w:rsidRDefault="00616B34" w:rsidP="00616B34">
            <w:r>
              <w:t>b) dostarczy Użytkownikowi pakiet aktualizacyjny lub wolną od tych błędów wersję oprogramowania.</w:t>
            </w:r>
          </w:p>
        </w:tc>
        <w:tc>
          <w:tcPr>
            <w:tcW w:w="161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2C150D">
        <w:trPr>
          <w:trHeight w:val="849"/>
        </w:trPr>
        <w:tc>
          <w:tcPr>
            <w:tcW w:w="691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682" w:type="dxa"/>
          </w:tcPr>
          <w:p w14:paraId="35AF7EF4" w14:textId="02089555" w:rsidR="00BF1ABA" w:rsidRPr="004216F3" w:rsidRDefault="002C150D" w:rsidP="00760FD1">
            <w:r>
              <w:t>Wykonawca w ramach gwarancji zapewnia zdalną diagnostykę oprogramowania</w:t>
            </w:r>
          </w:p>
        </w:tc>
        <w:tc>
          <w:tcPr>
            <w:tcW w:w="161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354" w:type="dxa"/>
          </w:tcPr>
          <w:p w14:paraId="0ACCAE4A" w14:textId="77777777" w:rsidR="00BF1ABA" w:rsidRPr="004216F3" w:rsidRDefault="00BF1ABA" w:rsidP="004216F3"/>
        </w:tc>
      </w:tr>
      <w:tr w:rsidR="00170679" w:rsidRPr="004216F3" w14:paraId="02913FE2" w14:textId="77777777" w:rsidTr="002C150D">
        <w:trPr>
          <w:trHeight w:val="1200"/>
        </w:trPr>
        <w:tc>
          <w:tcPr>
            <w:tcW w:w="691" w:type="dxa"/>
            <w:hideMark/>
          </w:tcPr>
          <w:p w14:paraId="59953A53" w14:textId="36DBFCDF" w:rsidR="00170679" w:rsidRPr="004216F3" w:rsidRDefault="00026938" w:rsidP="004216F3">
            <w:r>
              <w:t>7</w:t>
            </w:r>
            <w:r w:rsidR="00170679" w:rsidRPr="004216F3">
              <w:t>.</w:t>
            </w:r>
          </w:p>
        </w:tc>
        <w:tc>
          <w:tcPr>
            <w:tcW w:w="3682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1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354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2C5F4084" w14:textId="77777777" w:rsidTr="002C150D">
        <w:trPr>
          <w:trHeight w:val="415"/>
        </w:trPr>
        <w:tc>
          <w:tcPr>
            <w:tcW w:w="691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53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2C150D">
        <w:trPr>
          <w:trHeight w:val="600"/>
        </w:trPr>
        <w:tc>
          <w:tcPr>
            <w:tcW w:w="691" w:type="dxa"/>
            <w:hideMark/>
          </w:tcPr>
          <w:p w14:paraId="5D3AC3D2" w14:textId="60202691" w:rsidR="004216F3" w:rsidRPr="004216F3" w:rsidRDefault="002C150D" w:rsidP="004216F3">
            <w:r>
              <w:t>8</w:t>
            </w:r>
            <w:r w:rsidR="004216F3" w:rsidRPr="004216F3">
              <w:t>.</w:t>
            </w:r>
          </w:p>
        </w:tc>
        <w:tc>
          <w:tcPr>
            <w:tcW w:w="3682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1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2C150D">
        <w:trPr>
          <w:trHeight w:val="1897"/>
        </w:trPr>
        <w:tc>
          <w:tcPr>
            <w:tcW w:w="691" w:type="dxa"/>
            <w:hideMark/>
          </w:tcPr>
          <w:p w14:paraId="4DE1875D" w14:textId="2D29F79F" w:rsidR="004216F3" w:rsidRPr="004216F3" w:rsidRDefault="002C150D" w:rsidP="00834442">
            <w:r>
              <w:t>9</w:t>
            </w:r>
            <w:r w:rsidR="004216F3" w:rsidRPr="004216F3">
              <w:t>.</w:t>
            </w:r>
          </w:p>
        </w:tc>
        <w:tc>
          <w:tcPr>
            <w:tcW w:w="3682" w:type="dxa"/>
            <w:hideMark/>
          </w:tcPr>
          <w:p w14:paraId="6012C749" w14:textId="7712EBA1" w:rsidR="004216F3" w:rsidRPr="004216F3" w:rsidRDefault="004216F3" w:rsidP="00760FD1">
            <w:r w:rsidRPr="00BF1ABA">
              <w:t xml:space="preserve">Szkolenie personelu z obsługi (miejsce: siedziba Zamawiającego) po </w:t>
            </w:r>
            <w:r w:rsidR="002C150D">
              <w:t>instalacji</w:t>
            </w:r>
            <w:r w:rsidRPr="00BF1ABA">
              <w:t xml:space="preserve">, </w:t>
            </w:r>
          </w:p>
        </w:tc>
        <w:tc>
          <w:tcPr>
            <w:tcW w:w="161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2C150D">
        <w:trPr>
          <w:trHeight w:val="1005"/>
        </w:trPr>
        <w:tc>
          <w:tcPr>
            <w:tcW w:w="691" w:type="dxa"/>
            <w:hideMark/>
          </w:tcPr>
          <w:p w14:paraId="6B6A85A4" w14:textId="1E87A644" w:rsidR="004216F3" w:rsidRPr="004216F3" w:rsidRDefault="004216F3" w:rsidP="00834442">
            <w:r w:rsidRPr="004216F3">
              <w:t>1</w:t>
            </w:r>
            <w:r w:rsidR="002C150D">
              <w:t>0</w:t>
            </w:r>
            <w:r w:rsidRPr="004216F3">
              <w:t>.</w:t>
            </w:r>
          </w:p>
        </w:tc>
        <w:tc>
          <w:tcPr>
            <w:tcW w:w="3682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1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354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C0BB" w14:textId="77777777" w:rsidR="00A01E7F" w:rsidRDefault="00A01E7F" w:rsidP="004216F3">
      <w:pPr>
        <w:spacing w:after="0" w:line="240" w:lineRule="auto"/>
      </w:pPr>
      <w:r>
        <w:separator/>
      </w:r>
    </w:p>
  </w:endnote>
  <w:endnote w:type="continuationSeparator" w:id="0">
    <w:p w14:paraId="202CD5ED" w14:textId="77777777" w:rsidR="00A01E7F" w:rsidRDefault="00A01E7F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1D3A" w14:textId="77777777" w:rsidR="00C66308" w:rsidRDefault="00C6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7199" w14:textId="77777777" w:rsidR="00C66308" w:rsidRDefault="00C6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4DE4" w14:textId="77777777" w:rsidR="00C66308" w:rsidRDefault="00C6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31B3" w14:textId="77777777" w:rsidR="00A01E7F" w:rsidRDefault="00A01E7F" w:rsidP="004216F3">
      <w:pPr>
        <w:spacing w:after="0" w:line="240" w:lineRule="auto"/>
      </w:pPr>
      <w:r>
        <w:separator/>
      </w:r>
    </w:p>
  </w:footnote>
  <w:footnote w:type="continuationSeparator" w:id="0">
    <w:p w14:paraId="2D4F6784" w14:textId="77777777" w:rsidR="00A01E7F" w:rsidRDefault="00A01E7F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63F7" w14:textId="77777777" w:rsidR="00C66308" w:rsidRDefault="00C6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D67" w14:textId="77777777" w:rsidR="00C66308" w:rsidRDefault="00C6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92ED" w14:textId="544AE2A6" w:rsidR="00C66308" w:rsidRDefault="00C66308">
    <w:pPr>
      <w:pStyle w:val="Nagwek"/>
    </w:pPr>
    <w:r w:rsidRPr="00FF1FF3">
      <w:rPr>
        <w:noProof/>
      </w:rPr>
      <w:drawing>
        <wp:inline distT="0" distB="0" distL="0" distR="0" wp14:anchorId="57E5E23B" wp14:editId="2924C8CD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2319F"/>
    <w:rsid w:val="00026938"/>
    <w:rsid w:val="00040CE7"/>
    <w:rsid w:val="00051A58"/>
    <w:rsid w:val="00077633"/>
    <w:rsid w:val="00157DD4"/>
    <w:rsid w:val="00167BAE"/>
    <w:rsid w:val="00170679"/>
    <w:rsid w:val="00190726"/>
    <w:rsid w:val="00234C0A"/>
    <w:rsid w:val="002C150D"/>
    <w:rsid w:val="002D4DEF"/>
    <w:rsid w:val="0030130E"/>
    <w:rsid w:val="00365527"/>
    <w:rsid w:val="00385F7E"/>
    <w:rsid w:val="00416AF7"/>
    <w:rsid w:val="004216F3"/>
    <w:rsid w:val="00431BF4"/>
    <w:rsid w:val="004E3DF0"/>
    <w:rsid w:val="00553321"/>
    <w:rsid w:val="005D78E2"/>
    <w:rsid w:val="005E0A28"/>
    <w:rsid w:val="00616B34"/>
    <w:rsid w:val="00715650"/>
    <w:rsid w:val="00760FD1"/>
    <w:rsid w:val="00834442"/>
    <w:rsid w:val="00982720"/>
    <w:rsid w:val="00A01E7F"/>
    <w:rsid w:val="00A43FD1"/>
    <w:rsid w:val="00A5709D"/>
    <w:rsid w:val="00BF1ABA"/>
    <w:rsid w:val="00C66308"/>
    <w:rsid w:val="00D67133"/>
    <w:rsid w:val="00E23ADA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2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11</cp:revision>
  <dcterms:created xsi:type="dcterms:W3CDTF">2020-08-09T18:22:00Z</dcterms:created>
  <dcterms:modified xsi:type="dcterms:W3CDTF">2021-12-03T11:01:00Z</dcterms:modified>
</cp:coreProperties>
</file>