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6B" w:rsidRDefault="00064960" w:rsidP="00064960">
      <w:pPr>
        <w:jc w:val="right"/>
      </w:pPr>
      <w:r>
        <w:t>Załącznik nr 2</w:t>
      </w:r>
    </w:p>
    <w:p w:rsidR="00064960" w:rsidRPr="00E46B82" w:rsidRDefault="00064960" w:rsidP="00064960">
      <w:pPr>
        <w:jc w:val="center"/>
        <w:rPr>
          <w:b/>
          <w:sz w:val="24"/>
          <w:szCs w:val="24"/>
        </w:rPr>
      </w:pPr>
      <w:r w:rsidRPr="00E46B82">
        <w:rPr>
          <w:b/>
          <w:sz w:val="24"/>
          <w:szCs w:val="24"/>
        </w:rPr>
        <w:t>Oferta techniczna dla sprzętu stanowiącego przedmiot dostawy</w:t>
      </w:r>
      <w:r w:rsidR="00E46B82" w:rsidRPr="00E46B82">
        <w:rPr>
          <w:b/>
          <w:sz w:val="24"/>
          <w:szCs w:val="24"/>
        </w:rPr>
        <w:t>, wymagane parametry oraz warunki gwarancji</w:t>
      </w:r>
    </w:p>
    <w:p w:rsidR="00050AAB" w:rsidRPr="00064960" w:rsidRDefault="00064960">
      <w:pPr>
        <w:rPr>
          <w:b/>
        </w:rPr>
      </w:pPr>
      <w:r w:rsidRPr="00064960">
        <w:rPr>
          <w:b/>
        </w:rPr>
        <w:t xml:space="preserve">Aparaty </w:t>
      </w:r>
      <w:proofErr w:type="spellStart"/>
      <w:r w:rsidRPr="00064960">
        <w:rPr>
          <w:b/>
        </w:rPr>
        <w:t>teleEKG</w:t>
      </w:r>
      <w:proofErr w:type="spellEnd"/>
      <w:r w:rsidRPr="00064960">
        <w:rPr>
          <w:b/>
        </w:rPr>
        <w:t xml:space="preserve"> 30 </w:t>
      </w:r>
      <w:proofErr w:type="spellStart"/>
      <w:r w:rsidRPr="00064960">
        <w:rPr>
          <w:b/>
        </w:rPr>
        <w:t>szt</w:t>
      </w:r>
      <w:proofErr w:type="spellEnd"/>
    </w:p>
    <w:tbl>
      <w:tblPr>
        <w:tblW w:w="13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8452"/>
        <w:gridCol w:w="2170"/>
        <w:gridCol w:w="2727"/>
      </w:tblGrid>
      <w:tr w:rsidR="00050AAB" w:rsidRPr="00050AAB" w:rsidTr="00E218E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Rok produkcji: 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E6" w:rsidRDefault="00050AAB" w:rsidP="00E2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PARAMETRY  </w:t>
            </w:r>
          </w:p>
          <w:p w:rsidR="00050AAB" w:rsidRPr="00050AAB" w:rsidRDefault="00050AAB" w:rsidP="00E2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WARUNKI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050AAB" w:rsidRPr="00050AAB" w:rsidTr="00E218E6">
        <w:trPr>
          <w:trHeight w:val="54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zapewniają cyfrową transmisję danych, realizowaną bezprzewodowo poprzez wbudowany w urządzenie moduł GSM/GPRS, do oferowanego systemu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telemedycznego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55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teleEKG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zapewniają automatyczną, bezprzewodową współpracę z  wybranymi modułami zewnętrznymi do pomiaru ciśnienia tętniczego i masy ciała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98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zapewniają synchroniczny zapis EKG do wbudowanej pamięci z minimum 7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odprowadzeń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(6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odprowadzeń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kończynowych + 1 dowolnie wybrane przedsercowe) z możliwością zdalnej zmiany konfiguracji na 3 przedsercowe dowolnie wybrane – spośród V1, V2, V3, V4, V5 lub V6, pozyskany za pomocą 5 elektrod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7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zapewniają monitoring pracy serca w warunkach normalnej aktywności życiowej umożliwiający przeprowadzenie rehabilitacji kardiologicznej w warunkach domowych, a następnie automatyczne wysłanie badań do systemu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telemedycznego</w:t>
            </w:r>
            <w:proofErr w:type="spellEnd"/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50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Wbudowany w urządzenie moduł komunikacji głosowej GSM, umożliwiający połączenie głosowe z pacjentem poprzez wbudowany głośnik lub zestaw słuchawkowy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56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Możliwość zdalnej konfiguracji (z poziomu systemu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telemedycznego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) parametrów takich jak: długość zapisu EKG, czas ćwiczeń, czas odpoczynku, ilość cykli rehabilitacji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Wbudowana pamięć zapewniająca zapis minimum 25 minut EKG, w przypadku gdy transmisja GPRS nie jest możliwa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5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Badanie EKG zapisane w pamięci musi zawierać informacje o dacie i godzinie rejestracji, numerze sesji rehabilitacji, kategorii badania, numerze badania w cyklu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9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Automatyczne kasowanie badania EKG z wbudowanej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pamię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ć</w:t>
            </w: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,i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po otrzymaniu potwierdzenia, że badanie zostało odebrane i zarejestrowane przez system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telemedyczny</w:t>
            </w:r>
            <w:proofErr w:type="spellEnd"/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Automatyczna synchronizacja czasu w aparacie poprzez sieć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internet</w:t>
            </w:r>
            <w:proofErr w:type="spellEnd"/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Możliwość wykonania dodatkowych badań EKG w trakcie ćwiczenia i odpoczynku przez pacjenta (w trakcie trwania sesji rehabilitacji)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Wbudowana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geolokalizacja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określająca położenia pacjenta z chwilą wykonywania badania, na podstawie GPS i/lub GLONASS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Częstotliwość próbkowania badania EKG -  250 próbek / sekundę (lub wyższa)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Czułość próbkowania badania EKG: min. 10 bitów / próbkę.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Wbudowana antena GSM niedostępna dla pacjenta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Zakres częstotliwości: min. 0,05 – 100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Hz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CMRR: powyżej 75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dB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.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6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Wbudowana sygnalizacja świetlna i dźwiękowa informująca o stanach pracy takich jak: ładowanie, rozładowanie akumulatora, transmisja, zapis badania EKG, ćwiczenie, odpoczynek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8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Czas pracy na jednym ładowaniu akumulatora, po pełnym naładowaniu akumulatora, umożliwiający wykonanie 3 sesji o długości min 40 minut i czas czuwania (gotowości do pracy) min. 2 dni 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są wyrobami medycznymi i  posiadają deklaracje wytwórcy (deklaracja zgodności CE) o spełnieniu wymagań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52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AAB" w:rsidRPr="00050AAB" w:rsidRDefault="00050AAB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Aparaty są zgodne z wymaganiami wobec sprzętu używanego do kardiologicznej </w:t>
            </w:r>
            <w:proofErr w:type="spellStart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telerehabilitacji</w:t>
            </w:r>
            <w:proofErr w:type="spellEnd"/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hybrydowej określonej w Rozporządzeniu Ministra Zdrowia z 16</w:t>
            </w:r>
            <w:r w:rsidR="00E218E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.12.</w:t>
            </w:r>
            <w:r w:rsidRPr="00050AA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2016 r.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0AAB" w:rsidRPr="00050AAB" w:rsidTr="00E218E6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616E" w:rsidRDefault="00CC616E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616E" w:rsidRDefault="00CC616E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616E" w:rsidRPr="00050AAB" w:rsidRDefault="00CC616E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AB" w:rsidRDefault="00050AAB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8E6" w:rsidRDefault="00E218E6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8E6" w:rsidRDefault="00E218E6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8E6" w:rsidRPr="00050AAB" w:rsidRDefault="00E218E6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0AAB" w:rsidRPr="00050AAB" w:rsidTr="00CC616E">
        <w:trPr>
          <w:trHeight w:val="300"/>
        </w:trPr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B" w:rsidRPr="00050AAB" w:rsidRDefault="00050AAB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616E" w:rsidRDefault="00CC616E"/>
    <w:tbl>
      <w:tblPr>
        <w:tblW w:w="139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498"/>
        <w:gridCol w:w="2170"/>
        <w:gridCol w:w="2727"/>
      </w:tblGrid>
      <w:tr w:rsidR="00E218E6" w:rsidRPr="00050AAB" w:rsidTr="00CC616E">
        <w:trPr>
          <w:trHeight w:val="300"/>
        </w:trPr>
        <w:tc>
          <w:tcPr>
            <w:tcW w:w="1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8E6" w:rsidRDefault="00E218E6" w:rsidP="00050A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218E6">
              <w:rPr>
                <w:rFonts w:asciiTheme="majorHAnsi" w:eastAsia="Times New Roman" w:hAnsiTheme="majorHAnsi" w:cstheme="majorHAnsi"/>
                <w:b/>
                <w:lang w:eastAsia="pl-PL"/>
              </w:rPr>
              <w:t>Ciśnieniomierze 30 szt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  <w:r w:rsidRPr="00E218E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</w:p>
          <w:p w:rsidR="00E218E6" w:rsidRPr="00050AAB" w:rsidRDefault="00E218E6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8E6" w:rsidRPr="00050AAB" w:rsidRDefault="00E218E6" w:rsidP="0005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668" w:rsidRPr="000D3668" w:rsidTr="00CC616E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CC616E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CC616E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CC616E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Rok produkcji: 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CC616E">
        <w:trPr>
          <w:trHeight w:val="555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WYMAGANE PARAMETRY              I WARUNKI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akres pomiaru ciśnienia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min. 50 – 250 mmHg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akres pomiaru pulsu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min. 30 – 180 uderzeń / minutę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okładność pomiaru ciśnienia tętniczego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nie więcej niż+/- 3mmHg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okładność pomiaru pulsu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nie więcej niż +/- 5%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73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ezprzewodowa komunikacja z aparatem </w:t>
            </w:r>
            <w:proofErr w:type="spellStart"/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teleEKG</w:t>
            </w:r>
            <w:proofErr w:type="spellEnd"/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, zapewniaj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ą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ca przekazanie wyniku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badania w sposób automatyczny, tzn.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b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ez mo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ż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liwości wpływu pacjenta na wartoś</w:t>
            </w:r>
            <w:r w:rsidR="008762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 przekazanego pomiaru - podać typ i rodzaj komunikacji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6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Wbudowana pamięć pomiarów ciśnienia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min. 180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7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Zasilanie z wymiennych baterii / akumulatora - opisać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8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Masa urządzenia bez akumulatora / baterii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max 600 g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E218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9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E218E6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</w:t>
            </w:r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yrób posiada znak CE i jest zarejestrowany w </w:t>
            </w:r>
            <w:proofErr w:type="spellStart"/>
            <w:r w:rsidR="000D3668"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URPLWMiPB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668" w:rsidRPr="000D3668" w:rsidTr="00CC616E">
        <w:trPr>
          <w:trHeight w:val="31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18E6" w:rsidRPr="00E218E6" w:rsidTr="00CC616E">
        <w:trPr>
          <w:trHeight w:val="315"/>
        </w:trPr>
        <w:tc>
          <w:tcPr>
            <w:tcW w:w="1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:rsidR="00E218E6" w:rsidRPr="00E218E6" w:rsidRDefault="00E218E6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218E6">
              <w:rPr>
                <w:rFonts w:asciiTheme="majorHAnsi" w:eastAsia="Times New Roman" w:hAnsiTheme="majorHAnsi" w:cstheme="majorHAnsi"/>
                <w:b/>
                <w:lang w:eastAsia="pl-PL"/>
              </w:rPr>
              <w:t>Wagi 30 szt.</w:t>
            </w:r>
          </w:p>
        </w:tc>
      </w:tr>
    </w:tbl>
    <w:p w:rsidR="00050AAB" w:rsidRDefault="00050AAB"/>
    <w:tbl>
      <w:tblPr>
        <w:tblW w:w="13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8540"/>
        <w:gridCol w:w="2180"/>
        <w:gridCol w:w="2740"/>
      </w:tblGrid>
      <w:tr w:rsidR="000D3668" w:rsidRPr="000D3668" w:rsidTr="00E218E6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E218E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E218E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E218E6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Rok produkcji: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D3668" w:rsidRPr="000D3668" w:rsidTr="00E218E6">
        <w:trPr>
          <w:trHeight w:val="525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E6" w:rsidRDefault="000D3668" w:rsidP="00E2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PARAMETRY   </w:t>
            </w:r>
          </w:p>
          <w:p w:rsidR="000D3668" w:rsidRPr="000D3668" w:rsidRDefault="000D3668" w:rsidP="00E2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WARUNKI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0D3668" w:rsidRPr="000D3668" w:rsidTr="008762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8762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Wyświetlacz ciekłokrystaliczny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0D3668" w:rsidRPr="000D3668" w:rsidTr="008762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8762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Maksymalna waga pacjenta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min. 150 kg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0D3668" w:rsidRPr="000D3668" w:rsidTr="00876212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8762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Dokładność pomiarów –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nie gorsza niż 0,1 kg w przedziale 0-100kg, 0,2 kg w przedziale 100-150  kg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0D3668" w:rsidRPr="000D3668" w:rsidTr="008762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8762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Zasilanie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bateryjne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0D3668" w:rsidRPr="000D3668" w:rsidTr="00876212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8762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0D3668" w:rsidRDefault="000D3668" w:rsidP="00E218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Komunikacja z aparatem </w:t>
            </w:r>
            <w:proofErr w:type="spellStart"/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teleEKG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przewodowo lub bezprzewodowo; podać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0D366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0D3668" w:rsidRPr="000D3668" w:rsidTr="00E218E6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668" w:rsidRPr="000D3668" w:rsidTr="00E218E6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0D3668" w:rsidRDefault="000D3668" w:rsidP="000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3668" w:rsidRDefault="000D3668"/>
    <w:p w:rsidR="00CC616E" w:rsidRDefault="00CC616E"/>
    <w:p w:rsidR="00CC616E" w:rsidRDefault="00CC616E"/>
    <w:p w:rsidR="00CC616E" w:rsidRDefault="00CC616E"/>
    <w:p w:rsidR="00CC616E" w:rsidRDefault="00CC616E"/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2126"/>
        <w:gridCol w:w="2835"/>
      </w:tblGrid>
      <w:tr w:rsidR="000D3668" w:rsidRPr="00E218E6" w:rsidTr="00CC616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E218E6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668" w:rsidRPr="00E218E6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E218E6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E218E6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D3668" w:rsidRPr="00E218E6" w:rsidTr="00CC616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Warunki </w:t>
            </w:r>
            <w:r w:rsidR="00AC2E8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g</w:t>
            </w:r>
            <w:r w:rsidRPr="00CC616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warancji i serwisu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Parametr wymagany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Wartość oferowana</w:t>
            </w:r>
          </w:p>
        </w:tc>
      </w:tr>
      <w:tr w:rsidR="000D3668" w:rsidRPr="00CC616E" w:rsidTr="00CC616E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5F1F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Oferowany okres gwarancji </w:t>
            </w:r>
            <w:r w:rsidR="005F1F7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 </w:t>
            </w:r>
            <w:bookmarkStart w:id="0" w:name="_GoBack"/>
            <w:bookmarkEnd w:id="0"/>
            <w:r w:rsidR="00B9758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minimum 24 miesiące,</w:t>
            </w:r>
            <w:r w:rsidR="005F1F7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liczony od dnia podpisania Protokołu odbioru końcowego (Wykonawca może zaoferować dłuższy okres gwarancji niż wymagany minimalny). Wykonawca zobowiązany jest, w okresie obowiązywania gwarancji, do usunięcia wad w przedmiocie umowy na niżej określonych warunkach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Wykonywanie zalecanych przez producenta kontroli bezpieczeństwa i sprawności technicznej </w:t>
            </w:r>
            <w:r w:rsidR="00876212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oraz walidacji przedmiotu dostawy.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Monitorowanie stanu technicznego aparatu 24/7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zgłaszania usterek 24/7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Tak, podać sposób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Czas rozpoczęcia zdalnej diagnostyki za pomocą łącza internetowego do 1 godziny od zgłoszenia usterki w godzinach pracy serwisu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Informacja zwrotna z planem działania rozwiązania problemu w ciągu 4 godzin od zgłoszenia usterki w godzinach pracy serwisu.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Gwarantowany czas rozpoczęcia naprawy do 16 godzin od przyjęcia zgłoszenia naprawy w godzinach pracy serwisu.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Gwarantowany czas naprawy/usunięcia awarii w terminie do 72 godzin w dni robocze.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Praca inżynierów serwisowych – robocizna oraz dojazdy w ramach gwarancji - w cenie oferty.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Wykonanie wszelkich napraw dla dostarczonych urządzeń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Wymiana części zamiennych w przypadku ich awarii . Części zamienne wymieniane w ramach przeglądów oraz napraw w cenie oferty.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serwisu, adres, nr telefonu i faksu, osoba kontaktowa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Tak, podać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8" w:rsidRPr="00CC616E" w:rsidRDefault="000D3668" w:rsidP="00E218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Wykonawca poda orientacyjną przez okres 3 lat po zakończeniu gwarancji wartość serwisu pogwarancyjnego, obejmującą części zamienne, wymagane opłaty licencyjne oraz czynności serwisowe.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E46B82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Okres zagwarantowania dostępności i możliwości zakupu części zamiennych oraz wyposażenia eksploatacyjnego powinien wynosić minimum 10 lat od daty kończącej okres gwarancji (za wyjątkiem sprzętu komputerowego, na który zapewnia się okres min. 5 lat)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E46B8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 zakończeniu okresu gwarancji wykonawca  zobowiązany jest, w czasie eksploatacji aparatu, udzielać 12-to miesięcznej gwarancji na wszystkie części zamienne  oraz co najmniej 6-cio miesięcznej gwarancji na wykonane usługi serwisowe.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  <w:r w:rsidR="00876212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Wszystkie czynności serwisowe będą dokumentowane. Każdorazowo sporządzany będzie Raport serwisowy, w dwóch egzemplarzach, po jednym dla Zamawiającego i Wykonawcy. W przypadku nieobecności przedstawiciela Zamawiającego, Wykonawca obowiązany jest niezwłocznie przesłać Zamawiającemu jeden egzemplarz Raportu serwisowego.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0D3668" w:rsidRPr="00CC616E" w:rsidTr="00CC616E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  <w:r w:rsidR="00876212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ramach umowy </w:t>
            </w:r>
            <w:proofErr w:type="spellStart"/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upgrade</w:t>
            </w:r>
            <w:proofErr w:type="spellEnd"/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oprogramowania łącznie ze zmianami wynikającymi ze zmiany przepisów  prawa</w:t>
            </w:r>
            <w:r w:rsidRPr="00CC616E">
              <w:rPr>
                <w:rFonts w:asciiTheme="majorHAnsi" w:eastAsia="Times New Roman" w:hAnsiTheme="majorHAnsi" w:cstheme="majorHAnsi"/>
                <w:color w:val="FF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C616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DE00DD" w:rsidRPr="00CC616E" w:rsidTr="00CC616E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DD" w:rsidRPr="00CC616E" w:rsidRDefault="00DE00DD" w:rsidP="00E218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DD" w:rsidRPr="00CC616E" w:rsidRDefault="00DE00DD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Instalacja na zasobach zamawiającego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DD" w:rsidRPr="00CC616E" w:rsidRDefault="00DE00DD" w:rsidP="000D36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DD" w:rsidRPr="00CC616E" w:rsidRDefault="00DE00DD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D3668" w:rsidRPr="00CC616E" w:rsidTr="00CC616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8" w:rsidRPr="00CC616E" w:rsidRDefault="000D3668" w:rsidP="000D366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0D3668" w:rsidRPr="00CC616E" w:rsidRDefault="000D3668"/>
    <w:sectPr w:rsidR="000D3668" w:rsidRPr="00CC616E" w:rsidSect="00050A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F5" w:rsidRDefault="001423F5" w:rsidP="008950CC">
      <w:pPr>
        <w:spacing w:after="0" w:line="240" w:lineRule="auto"/>
      </w:pPr>
      <w:r>
        <w:separator/>
      </w:r>
    </w:p>
  </w:endnote>
  <w:endnote w:type="continuationSeparator" w:id="0">
    <w:p w:rsidR="001423F5" w:rsidRDefault="001423F5" w:rsidP="0089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F5" w:rsidRDefault="001423F5" w:rsidP="008950CC">
      <w:pPr>
        <w:spacing w:after="0" w:line="240" w:lineRule="auto"/>
      </w:pPr>
      <w:r>
        <w:separator/>
      </w:r>
    </w:p>
  </w:footnote>
  <w:footnote w:type="continuationSeparator" w:id="0">
    <w:p w:rsidR="001423F5" w:rsidRDefault="001423F5" w:rsidP="0089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0CC" w:rsidRDefault="008950CC" w:rsidP="008950CC">
    <w:pPr>
      <w:pStyle w:val="Nagwek"/>
      <w:jc w:val="center"/>
    </w:pPr>
    <w:r w:rsidRPr="00343B15">
      <w:rPr>
        <w:noProof/>
      </w:rPr>
      <w:drawing>
        <wp:inline distT="0" distB="0" distL="0" distR="0" wp14:anchorId="1FF04EA1" wp14:editId="610531C1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0CC" w:rsidRDefault="00895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AB"/>
    <w:rsid w:val="00050AAB"/>
    <w:rsid w:val="00064960"/>
    <w:rsid w:val="000D3668"/>
    <w:rsid w:val="001423F5"/>
    <w:rsid w:val="004F3C6B"/>
    <w:rsid w:val="005F1F78"/>
    <w:rsid w:val="00722897"/>
    <w:rsid w:val="00876212"/>
    <w:rsid w:val="008950CC"/>
    <w:rsid w:val="00A82FA8"/>
    <w:rsid w:val="00AC2E83"/>
    <w:rsid w:val="00B9758D"/>
    <w:rsid w:val="00CC616E"/>
    <w:rsid w:val="00DE00DD"/>
    <w:rsid w:val="00E218E6"/>
    <w:rsid w:val="00E46B82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A95"/>
  <w15:chartTrackingRefBased/>
  <w15:docId w15:val="{12D95F7D-8117-44A0-805B-B2FB0FF9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CC"/>
  </w:style>
  <w:style w:type="paragraph" w:styleId="Stopka">
    <w:name w:val="footer"/>
    <w:basedOn w:val="Normalny"/>
    <w:link w:val="StopkaZnak"/>
    <w:uiPriority w:val="99"/>
    <w:unhideWhenUsed/>
    <w:rsid w:val="0089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CC"/>
  </w:style>
  <w:style w:type="paragraph" w:styleId="Tekstdymka">
    <w:name w:val="Balloon Text"/>
    <w:basedOn w:val="Normalny"/>
    <w:link w:val="TekstdymkaZnak"/>
    <w:uiPriority w:val="99"/>
    <w:semiHidden/>
    <w:unhideWhenUsed/>
    <w:rsid w:val="00E4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9866-CB98-4AF1-967E-5A7A1D99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2019-02-28T12:00:00Z</cp:lastPrinted>
  <dcterms:created xsi:type="dcterms:W3CDTF">2019-04-04T12:38:00Z</dcterms:created>
  <dcterms:modified xsi:type="dcterms:W3CDTF">2019-04-05T06:49:00Z</dcterms:modified>
</cp:coreProperties>
</file>