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23B5" w14:textId="38A955D8" w:rsidR="00AC0361" w:rsidRDefault="00D20846">
      <w:r>
        <w:t>PYTANIA</w:t>
      </w:r>
    </w:p>
    <w:p w14:paraId="17342971" w14:textId="77777777" w:rsidR="00D20846" w:rsidRDefault="00D20846"/>
    <w:p w14:paraId="02A9448F" w14:textId="77777777" w:rsidR="00D20846" w:rsidRDefault="00D20846" w:rsidP="00D20846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Prosimy o podział przedmiotu zamówienia na pięć części, zgodnie z ofertą techniczną – załącznik nr 1 do </w:t>
      </w:r>
      <w:proofErr w:type="spellStart"/>
      <w:r>
        <w:t>siwz</w:t>
      </w:r>
      <w:proofErr w:type="spellEnd"/>
      <w:r>
        <w:t xml:space="preserve">. Przedmiot zamówienia obejmuje różnorodny sprzęt, który może być zaoferowany przez różnych wykonawców. Zestawienie różnych urządzeń w jeden przedmiot zamówienia stanowi naruszenie zasad udzielania zamówień publicznych, w szczególności uczciwej konkurencji poprzez poważne ograniczenie możliwości ubiegania się o zamówienie mniejszym podmiotom. </w:t>
      </w:r>
    </w:p>
    <w:p w14:paraId="32B7DA5F" w14:textId="77777777" w:rsidR="00D20846" w:rsidRDefault="00D20846" w:rsidP="00D20846">
      <w:pPr>
        <w:tabs>
          <w:tab w:val="left" w:pos="284"/>
        </w:tabs>
        <w:ind w:left="284" w:hanging="284"/>
        <w:jc w:val="both"/>
      </w:pPr>
      <w:r>
        <w:tab/>
        <w:t xml:space="preserve">Jednocześnie, powyższa praktyka prowadzi do zwiększenia kosztów wykonawców, co bezpośrednio wpływa na znaczący wzrost ostatecznej ceny oferty przetargowej wykonawcy. </w:t>
      </w:r>
    </w:p>
    <w:p w14:paraId="52413FBC" w14:textId="77777777" w:rsidR="00D20846" w:rsidRDefault="00D20846" w:rsidP="00D20846">
      <w:pPr>
        <w:tabs>
          <w:tab w:val="left" w:pos="284"/>
        </w:tabs>
        <w:ind w:left="284" w:hanging="284"/>
        <w:jc w:val="both"/>
      </w:pPr>
    </w:p>
    <w:p w14:paraId="2C36FC3F" w14:textId="77777777" w:rsidR="00D20846" w:rsidRDefault="00D20846" w:rsidP="00D20846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 xml:space="preserve">Dotyczy: Wzór umowy – załącznik nr 2 do </w:t>
      </w:r>
      <w:proofErr w:type="spellStart"/>
      <w:r>
        <w:t>siwz</w:t>
      </w:r>
      <w:proofErr w:type="spellEnd"/>
      <w:r>
        <w:t xml:space="preserve">, </w:t>
      </w:r>
      <w:r>
        <w:rPr>
          <w:rFonts w:cs="Arial"/>
        </w:rPr>
        <w:t>§</w:t>
      </w:r>
      <w:r>
        <w:t xml:space="preserve"> 4 ust. 2: „</w:t>
      </w:r>
      <w:r>
        <w:rPr>
          <w:rFonts w:ascii="Calibri" w:eastAsia="Calibri" w:hAnsi="Calibri" w:cs="Calibri"/>
        </w:rPr>
        <w:t xml:space="preserve">Wykonawca, dla dostarczonego sprzętu zapewnia gwarancję, na warunkach określonych w SIWZ w tym wzorcowanie urządzeń pomiarowych w okresie gwarancji. </w:t>
      </w:r>
      <w:r>
        <w:rPr>
          <w:rFonts w:ascii="Calibri" w:hAnsi="Calibri" w:cs="Calibri"/>
        </w:rPr>
        <w:t>Okres gwarancji liczony będzie od daty podpisania końcowego protokołu odbioru przedmiotu umowy bez zastrzeżeń.”</w:t>
      </w:r>
    </w:p>
    <w:p w14:paraId="5477B468" w14:textId="77777777" w:rsidR="00D20846" w:rsidRDefault="00D20846" w:rsidP="00D20846">
      <w:pPr>
        <w:tabs>
          <w:tab w:val="left" w:pos="284"/>
        </w:tabs>
        <w:ind w:left="284" w:hanging="284"/>
        <w:jc w:val="both"/>
      </w:pPr>
      <w:r>
        <w:tab/>
        <w:t>Prosimy o wykreślenie z ostatniego zdania słów: „</w:t>
      </w:r>
      <w:r>
        <w:rPr>
          <w:rFonts w:ascii="Calibri" w:hAnsi="Calibri" w:cs="Calibri"/>
        </w:rPr>
        <w:t>bez zastrzeżeń”</w:t>
      </w:r>
    </w:p>
    <w:p w14:paraId="0F50EA7A" w14:textId="77777777" w:rsidR="00D20846" w:rsidRDefault="00D20846" w:rsidP="00D20846">
      <w:pPr>
        <w:tabs>
          <w:tab w:val="left" w:pos="284"/>
        </w:tabs>
        <w:ind w:left="284" w:hanging="284"/>
        <w:jc w:val="both"/>
      </w:pPr>
      <w:r>
        <w:tab/>
        <w:t>Zgodnie z postanowieniem zawartym w § 2 ust. 4 wzoru umowy, niezgłoszenie uwag w trakcie odbioru końcowego pozostaje bez wpływu na uprawnienia Zamawiającego z tytułu rękojmi i gwarancji jakości. W tej sytuacji, aby postanowienia umowy były spójne, ewentualne zastrzeżenia w końcowym protokole odbioru nie powinny nie mieć znaczenia dla liczenia okresu gwarancji.</w:t>
      </w:r>
    </w:p>
    <w:p w14:paraId="2E4004FE" w14:textId="77777777" w:rsidR="00D20846" w:rsidRDefault="00D20846" w:rsidP="00D20846">
      <w:pPr>
        <w:pStyle w:val="Stopka"/>
        <w:tabs>
          <w:tab w:val="clear" w:pos="4536"/>
          <w:tab w:val="left" w:pos="993"/>
          <w:tab w:val="right" w:pos="8505"/>
        </w:tabs>
      </w:pPr>
    </w:p>
    <w:p w14:paraId="690C405D" w14:textId="77777777" w:rsidR="00D20846" w:rsidRDefault="00D20846" w:rsidP="00D20846">
      <w:pPr>
        <w:pStyle w:val="Stopka"/>
        <w:numPr>
          <w:ilvl w:val="0"/>
          <w:numId w:val="1"/>
        </w:numPr>
        <w:tabs>
          <w:tab w:val="clear" w:pos="4536"/>
          <w:tab w:val="left" w:pos="284"/>
          <w:tab w:val="right" w:pos="8505"/>
        </w:tabs>
        <w:ind w:left="284" w:hanging="284"/>
        <w:jc w:val="both"/>
      </w:pPr>
      <w:r>
        <w:t xml:space="preserve">Dotyczy: Wzór umowy – załącznik nr 2 do </w:t>
      </w:r>
      <w:proofErr w:type="spellStart"/>
      <w:r>
        <w:t>siwz</w:t>
      </w:r>
      <w:proofErr w:type="spellEnd"/>
      <w:r>
        <w:t xml:space="preserve">, </w:t>
      </w:r>
      <w:r>
        <w:rPr>
          <w:rFonts w:cs="Arial"/>
        </w:rPr>
        <w:t>§</w:t>
      </w:r>
      <w:r>
        <w:t xml:space="preserve"> 4 ust. 4: „</w:t>
      </w:r>
      <w:r>
        <w:rPr>
          <w:rFonts w:ascii="Calibri" w:hAnsi="Calibri" w:cs="Calibri"/>
          <w:iCs/>
        </w:rPr>
        <w:t xml:space="preserve">Jeśli warunki gwarancji ustalone w załącznikach do SIWZ nie stanowią inaczej terminy usunięcia ujawnionych wad będzie określał Zamawiający, biorąc pod uwagę niezbędny czas i techniczne możliwości ich usunięcia, pisemnie informując o nich  Wykonawcę. </w:t>
      </w:r>
      <w:r>
        <w:rPr>
          <w:rFonts w:ascii="Calibri" w:hAnsi="Calibri" w:cs="Calibri"/>
        </w:rPr>
        <w:t>W przypadku niewywiązania się Wykonawcy z obowiązku przystąpienia do usunięcia wad oraz odmowy ich usunięcia i/lub ich niewłaściwego usunięcia, Zamawiający będzie uprawniony do dokonania usunięcia wad przy udziale strony trzeciej, na koszt i ryzyko Wykonawcy po upływie dodatkowo wyznaczonego terminu, nie krótszego niż 7 dni i bez konieczności uzyskiwania w tym zakresie upoważnienia sądu do wykonania zastępczego. Postanowienia dotyczące kar stosuje się odpowiednio</w:t>
      </w:r>
      <w:r>
        <w:t>”</w:t>
      </w:r>
    </w:p>
    <w:p w14:paraId="160E238D" w14:textId="77777777" w:rsidR="00D20846" w:rsidRDefault="00D20846" w:rsidP="00D20846">
      <w:pPr>
        <w:tabs>
          <w:tab w:val="left" w:pos="284"/>
        </w:tabs>
        <w:ind w:left="284" w:hanging="284"/>
        <w:jc w:val="both"/>
      </w:pPr>
      <w:r>
        <w:tab/>
        <w:t>Prosimy o zastąpienie wskazanego postanowienia postanowieniem w brzmieniu:</w:t>
      </w:r>
    </w:p>
    <w:p w14:paraId="3776A40D" w14:textId="77777777" w:rsidR="00D20846" w:rsidRDefault="00D20846" w:rsidP="00D20846">
      <w:pPr>
        <w:tabs>
          <w:tab w:val="left" w:pos="284"/>
        </w:tabs>
        <w:ind w:left="284" w:hanging="284"/>
        <w:jc w:val="both"/>
      </w:pPr>
      <w:r>
        <w:rPr>
          <w:rFonts w:ascii="Calibri" w:hAnsi="Calibri" w:cs="Calibri"/>
          <w:iCs/>
        </w:rPr>
        <w:tab/>
        <w:t>Jeśli warunki gwarancji ustalone w załącznikach do SIWZ nie stanowią inaczej terminy usunięcia ujawnionych wad będzie określał Wykonawca, biorąc pod uwagę niezbędny czas i techniczne możliwości ich usunięcia, pisemnie informując o nich Zamawiającego.</w:t>
      </w:r>
    </w:p>
    <w:p w14:paraId="5D8059AB" w14:textId="77777777" w:rsidR="00D20846" w:rsidRDefault="00D20846" w:rsidP="00D20846">
      <w:pPr>
        <w:tabs>
          <w:tab w:val="left" w:pos="284"/>
        </w:tabs>
        <w:ind w:left="284" w:hanging="284"/>
        <w:jc w:val="both"/>
      </w:pPr>
      <w:r>
        <w:tab/>
        <w:t>Wykonawca przyjmuje na siebie zobowiązania wynikające z udzielonej gwarancji i rękojmi i to Wykonawca, a nie Zamawiający, posiada kwalifikacje, umiejętności i wiedzę w zakresie serwisowania sprzętu. Brak powyższych powoduje, że Zamawiający nie ma możliwości określenia terminów usunięcia wad w sposób realny.</w:t>
      </w:r>
    </w:p>
    <w:p w14:paraId="1FFCD1E2" w14:textId="77777777" w:rsidR="00D20846" w:rsidRDefault="00D20846" w:rsidP="00D20846">
      <w:pPr>
        <w:tabs>
          <w:tab w:val="left" w:pos="284"/>
        </w:tabs>
        <w:ind w:left="284" w:hanging="284"/>
        <w:jc w:val="both"/>
      </w:pPr>
    </w:p>
    <w:p w14:paraId="410C9FFF" w14:textId="77777777" w:rsidR="00D20846" w:rsidRDefault="00D20846" w:rsidP="00D20846">
      <w:pPr>
        <w:pStyle w:val="Stopka"/>
        <w:numPr>
          <w:ilvl w:val="0"/>
          <w:numId w:val="1"/>
        </w:numPr>
        <w:tabs>
          <w:tab w:val="clear" w:pos="4536"/>
          <w:tab w:val="left" w:pos="284"/>
          <w:tab w:val="right" w:pos="8505"/>
        </w:tabs>
        <w:ind w:left="284" w:hanging="284"/>
        <w:jc w:val="both"/>
        <w:rPr>
          <w:rFonts w:ascii="Calibri" w:eastAsia="Calibri" w:hAnsi="Calibri" w:cs="Calibri"/>
        </w:rPr>
      </w:pPr>
      <w:r>
        <w:t xml:space="preserve">Dotyczy: Wzór umowy – załącznik nr 2 do </w:t>
      </w:r>
      <w:proofErr w:type="spellStart"/>
      <w:r>
        <w:t>siwz</w:t>
      </w:r>
      <w:proofErr w:type="spellEnd"/>
      <w:r>
        <w:t>, § 5 ust. 1 p. 3: „</w:t>
      </w:r>
      <w:r>
        <w:rPr>
          <w:rFonts w:ascii="Calibri" w:hAnsi="Calibri" w:cs="Calibri"/>
        </w:rPr>
        <w:t>3) za przekroczenie terminów napraw, wykonania przeglądów lub czynności serwisowych i innych w szczególności szkoleń, do których jest zobowiązany zgodnie z wymogami zawartymi w OFERCIE TECHNICZNEJ oraz niniejszej umowie, w wysokości 0,1 % od wartości netto przedmiotu umowy określonego w § 3 ust 1 A  za każdy dzień zwłoki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oraz przedłużenie okresu gwarancji o okres niesprawności sprzętu. </w:t>
      </w:r>
      <w:r>
        <w:rPr>
          <w:rFonts w:ascii="Calibri" w:eastAsia="Calibri" w:hAnsi="Calibri" w:cs="Calibri"/>
        </w:rPr>
        <w:t>Kary za przekroczenie czasu naprawy nie będą naliczane w przypadku zapewnienia sprzętu zastępczego o parametrach nie gorszych niż naprawiany.”</w:t>
      </w:r>
    </w:p>
    <w:p w14:paraId="1C62CBC3" w14:textId="77777777" w:rsidR="00D20846" w:rsidRDefault="00D20846" w:rsidP="00D20846">
      <w:pPr>
        <w:tabs>
          <w:tab w:val="left" w:pos="284"/>
        </w:tabs>
        <w:ind w:left="284"/>
        <w:jc w:val="both"/>
      </w:pPr>
      <w:r>
        <w:t xml:space="preserve">Prosimy o wykreślenie wskazanego postanowienia. Jego treść jest sformułowana w sposób niedookreślony i mało precyzyjny, powodujący możliwość nadużywania przez Zamawiającego stosowania kar umownych wobec Wykonawcy. Przystępując do postępowania Wykonawca działa w dobrej wierze i nie zamierza przekraczać jakichkolwiek terminów, którymi jest zobowiązany. </w:t>
      </w:r>
    </w:p>
    <w:p w14:paraId="152FAE51" w14:textId="77777777" w:rsidR="00D20846" w:rsidRDefault="00D20846" w:rsidP="00D20846">
      <w:pPr>
        <w:tabs>
          <w:tab w:val="left" w:pos="284"/>
        </w:tabs>
        <w:ind w:left="284"/>
        <w:jc w:val="both"/>
      </w:pPr>
      <w:r>
        <w:t>Ponadto, praktyka w postaci natychmiastowego zapewnienia sprzętu zastępczego w przypadku jakichkolwiek nieprawidłowości, usterek, czy awarii jest daleka od realnych możliwości wykonawców. Jak wynika z wieloletniego doświadczenia wykonawcy, jeżeli umowa przewiduje dostarczenie sprzętu zastępczego, określa w sposób precyzyjny warunki i termin jego dostarczenia. Ponadto, sprzęt zastępczy jest udostępniany tylko w wyjątkowych sytuacjach, kiedy usterka jest na tyle poważna, że realizacja naprawy wymaga dodatkowego czasu, co zawsze odbywa się w porozumieniu z zamawiającym. Konieczność uwzględnienia w kalkulacji postanowienia proponowanego przez Zamawiającego powoduje znaczący wzrost kosztów wykonawcy i tym samym – ceny oferty.</w:t>
      </w:r>
    </w:p>
    <w:p w14:paraId="613F0EEC" w14:textId="77777777" w:rsidR="00D20846" w:rsidRDefault="00D20846" w:rsidP="00D20846">
      <w:pPr>
        <w:pStyle w:val="Stopka"/>
        <w:tabs>
          <w:tab w:val="clear" w:pos="4536"/>
          <w:tab w:val="left" w:pos="284"/>
          <w:tab w:val="right" w:pos="8505"/>
        </w:tabs>
        <w:ind w:left="284" w:hanging="284"/>
        <w:jc w:val="both"/>
      </w:pPr>
    </w:p>
    <w:p w14:paraId="4B2C6819" w14:textId="77777777" w:rsidR="00D20846" w:rsidRDefault="00D20846" w:rsidP="00D20846">
      <w:pPr>
        <w:pStyle w:val="Stopka"/>
        <w:numPr>
          <w:ilvl w:val="0"/>
          <w:numId w:val="1"/>
        </w:numPr>
        <w:tabs>
          <w:tab w:val="clear" w:pos="4536"/>
          <w:tab w:val="left" w:pos="284"/>
          <w:tab w:val="right" w:pos="8505"/>
        </w:tabs>
        <w:ind w:left="284" w:hanging="284"/>
        <w:jc w:val="both"/>
      </w:pPr>
      <w:r>
        <w:t xml:space="preserve">Dotyczy: Wzór umowy – załącznik nr 2 do </w:t>
      </w:r>
      <w:proofErr w:type="spellStart"/>
      <w:r>
        <w:t>siwz</w:t>
      </w:r>
      <w:proofErr w:type="spellEnd"/>
      <w:r>
        <w:t xml:space="preserve">, </w:t>
      </w:r>
      <w:r>
        <w:rPr>
          <w:rFonts w:cs="Arial"/>
        </w:rPr>
        <w:t>§</w:t>
      </w:r>
      <w:r>
        <w:t xml:space="preserve"> 8 ust. 2 pkt 3): „</w:t>
      </w:r>
      <w:r>
        <w:rPr>
          <w:rFonts w:ascii="Calibri" w:hAnsi="Calibri" w:cs="Calibri"/>
          <w:sz w:val="22"/>
          <w:szCs w:val="22"/>
        </w:rPr>
        <w:t xml:space="preserve">w przypadku wystąpienia różnicy czasowej pomiędzy dostawą i montażem poszczególnych elementów wyposażenia i aparatury </w:t>
      </w:r>
      <w:r>
        <w:rPr>
          <w:rFonts w:ascii="Calibri" w:hAnsi="Calibri" w:cs="Calibri"/>
          <w:sz w:val="22"/>
          <w:szCs w:val="22"/>
        </w:rPr>
        <w:lastRenderedPageBreak/>
        <w:t>medycznej a ich uruchomieniem, na Wykonawcy spoczywa obowiązek odpowiedniego ich zabezpieczenia przed czynnikami zewnętrznymi</w:t>
      </w:r>
      <w:r>
        <w:t>”</w:t>
      </w:r>
    </w:p>
    <w:p w14:paraId="01A2644C" w14:textId="77777777" w:rsidR="00D20846" w:rsidRDefault="00D20846" w:rsidP="00D20846">
      <w:pPr>
        <w:tabs>
          <w:tab w:val="left" w:pos="284"/>
        </w:tabs>
        <w:ind w:left="284" w:hanging="284"/>
        <w:jc w:val="both"/>
      </w:pPr>
      <w:r>
        <w:tab/>
        <w:t>Prosimy o potwierdzenie, że odpowiedzialność za przechowanie i ewentualną utratę dostarczonych elementów wyposażenia i aparatury medycznej z chwilą ich dostarczenia przechodzi na Zamawiającego.</w:t>
      </w:r>
    </w:p>
    <w:p w14:paraId="4DEE6996" w14:textId="77777777" w:rsidR="00D20846" w:rsidRDefault="00D20846" w:rsidP="00D20846">
      <w:pPr>
        <w:pStyle w:val="Stopka"/>
        <w:tabs>
          <w:tab w:val="clear" w:pos="4536"/>
          <w:tab w:val="left" w:pos="284"/>
          <w:tab w:val="right" w:pos="8505"/>
        </w:tabs>
        <w:ind w:left="284" w:hanging="284"/>
        <w:jc w:val="both"/>
      </w:pPr>
    </w:p>
    <w:p w14:paraId="4E557F40" w14:textId="77777777" w:rsidR="00D20846" w:rsidRDefault="00D20846" w:rsidP="00D20846">
      <w:pPr>
        <w:pStyle w:val="Stopka"/>
        <w:numPr>
          <w:ilvl w:val="0"/>
          <w:numId w:val="1"/>
        </w:numPr>
        <w:tabs>
          <w:tab w:val="clear" w:pos="4536"/>
          <w:tab w:val="left" w:pos="284"/>
          <w:tab w:val="right" w:pos="8505"/>
        </w:tabs>
        <w:ind w:left="284" w:hanging="284"/>
        <w:jc w:val="both"/>
      </w:pPr>
      <w:r>
        <w:t xml:space="preserve">Dotyczy: Wzór umowy – załącznik nr 2 do </w:t>
      </w:r>
      <w:proofErr w:type="spellStart"/>
      <w:r>
        <w:t>siwz</w:t>
      </w:r>
      <w:proofErr w:type="spellEnd"/>
      <w:r>
        <w:t xml:space="preserve">, </w:t>
      </w:r>
      <w:r>
        <w:rPr>
          <w:rFonts w:cs="Arial"/>
        </w:rPr>
        <w:t>§</w:t>
      </w:r>
      <w:r>
        <w:t xml:space="preserve"> 8 ust. 6: „</w:t>
      </w:r>
      <w:r>
        <w:rPr>
          <w:rFonts w:ascii="Calibri" w:hAnsi="Calibri" w:cs="Calibri"/>
          <w:sz w:val="22"/>
          <w:szCs w:val="22"/>
        </w:rPr>
        <w:t>Wykonawca zobowiązany będzie do usunięcia stwierdzonych w trakcie odbioru wad (zawartych w Protokole usterek) w terminie uzgodnionym przez Strony (nie dłuższym jednak niż 1 (jeden) tydzień) z zastrzeżeniem, iż po upływie tego terminu Zamawiający będzie mógł odstąpić od umowy niezależnie od istotności wad lub zażądać stosownego obniżenia wynagrodzenia</w:t>
      </w:r>
      <w:r>
        <w:t>”</w:t>
      </w:r>
    </w:p>
    <w:p w14:paraId="40FFA4CC" w14:textId="77777777" w:rsidR="00D20846" w:rsidRDefault="00D20846" w:rsidP="00D20846">
      <w:pPr>
        <w:pStyle w:val="Stopka"/>
        <w:tabs>
          <w:tab w:val="clear" w:pos="4536"/>
          <w:tab w:val="left" w:pos="284"/>
          <w:tab w:val="right" w:pos="8505"/>
        </w:tabs>
        <w:ind w:left="284" w:hanging="284"/>
        <w:jc w:val="both"/>
      </w:pPr>
      <w:r>
        <w:tab/>
        <w:t>Prosimy o dodanie do treści wskazanego postanowienia następującego zastrzeżenia:</w:t>
      </w:r>
    </w:p>
    <w:p w14:paraId="2A620B30" w14:textId="77777777" w:rsidR="00D20846" w:rsidRDefault="00D20846" w:rsidP="00D20846">
      <w:pPr>
        <w:pStyle w:val="Stopka"/>
        <w:tabs>
          <w:tab w:val="clear" w:pos="4536"/>
          <w:tab w:val="left" w:pos="284"/>
          <w:tab w:val="right" w:pos="8505"/>
        </w:tabs>
        <w:ind w:left="284" w:hanging="284"/>
        <w:jc w:val="both"/>
      </w:pPr>
      <w:r>
        <w:tab/>
        <w:t>„chyba, że Wykonawca w tym terminie poinformuje Zamawiającego o kolejnych działaniach w celu usunięcia stwierdzonych wad.”</w:t>
      </w:r>
    </w:p>
    <w:p w14:paraId="0E540B8E" w14:textId="77777777" w:rsidR="00D20846" w:rsidRDefault="00D20846" w:rsidP="00D20846">
      <w:pPr>
        <w:pStyle w:val="Stopka"/>
        <w:tabs>
          <w:tab w:val="clear" w:pos="4536"/>
          <w:tab w:val="left" w:pos="284"/>
          <w:tab w:val="right" w:pos="8505"/>
        </w:tabs>
        <w:ind w:left="284" w:hanging="284"/>
        <w:jc w:val="both"/>
      </w:pPr>
    </w:p>
    <w:p w14:paraId="494BF544" w14:textId="77777777" w:rsidR="00D20846" w:rsidRDefault="00D20846" w:rsidP="00D20846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 xml:space="preserve">Dotyczy: Wzór umowy – załącznik nr 2 do </w:t>
      </w:r>
      <w:proofErr w:type="spellStart"/>
      <w:r>
        <w:t>siwz</w:t>
      </w:r>
      <w:proofErr w:type="spellEnd"/>
      <w:r>
        <w:t xml:space="preserve">, </w:t>
      </w:r>
      <w:r>
        <w:rPr>
          <w:rFonts w:cs="Arial"/>
        </w:rPr>
        <w:t>§</w:t>
      </w:r>
      <w:r>
        <w:t xml:space="preserve"> 8 ust. 7: „</w:t>
      </w:r>
      <w:r>
        <w:rPr>
          <w:rFonts w:ascii="Calibri" w:hAnsi="Calibri" w:cs="Calibri"/>
          <w:sz w:val="22"/>
          <w:szCs w:val="22"/>
        </w:rPr>
        <w:t>W przypadku stwierdzenia wad Protokół odbioru zostanie sporządzony po usunięciu wad wskazanych w Protokole usterek</w:t>
      </w:r>
      <w:r>
        <w:rPr>
          <w:rFonts w:ascii="Calibri" w:hAnsi="Calibri" w:cs="Calibri"/>
        </w:rPr>
        <w:t>.”</w:t>
      </w:r>
    </w:p>
    <w:p w14:paraId="020D11C4" w14:textId="77777777" w:rsidR="00D20846" w:rsidRDefault="00D20846" w:rsidP="00D20846">
      <w:pPr>
        <w:tabs>
          <w:tab w:val="left" w:pos="284"/>
        </w:tabs>
        <w:ind w:left="284" w:hanging="284"/>
        <w:jc w:val="both"/>
      </w:pPr>
      <w:r>
        <w:tab/>
        <w:t>Prosimy o wykreślenie wskazanego postanowienia.</w:t>
      </w:r>
    </w:p>
    <w:p w14:paraId="4A6F3A6F" w14:textId="77777777" w:rsidR="00D20846" w:rsidRDefault="00D20846" w:rsidP="00D20846">
      <w:pPr>
        <w:tabs>
          <w:tab w:val="left" w:pos="284"/>
        </w:tabs>
        <w:ind w:left="284" w:hanging="284"/>
        <w:jc w:val="both"/>
      </w:pPr>
      <w:r>
        <w:tab/>
        <w:t>Zgodnie z postanowieniem zawartym w § 2 ust. 4 wzoru umowy, niezgłoszenie uwag w trakcie odbioru końcowego pozostaje bez wpływu na uprawnienia Zamawiającego z tytułu rękojmi i gwarancji jakości. W tej sytuacji, aby postanowienia umowy były spójne, ewentualne zastrzeżenia w końcowym protokole odbioru nie powinny nie mieć znaczenia dla podpisania protokołu odbioru.</w:t>
      </w:r>
    </w:p>
    <w:p w14:paraId="282190F1" w14:textId="77777777" w:rsidR="00D20846" w:rsidRDefault="00D20846" w:rsidP="00D20846">
      <w:pPr>
        <w:tabs>
          <w:tab w:val="left" w:pos="284"/>
        </w:tabs>
        <w:ind w:left="284" w:hanging="284"/>
        <w:jc w:val="both"/>
      </w:pPr>
    </w:p>
    <w:p w14:paraId="2AC22526" w14:textId="77777777" w:rsidR="00D20846" w:rsidRDefault="00D20846" w:rsidP="00D20846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t xml:space="preserve">Dotyczy: Wzór umowy – załącznik nr 2 do </w:t>
      </w:r>
      <w:proofErr w:type="spellStart"/>
      <w:r>
        <w:t>siwz</w:t>
      </w:r>
      <w:proofErr w:type="spellEnd"/>
      <w:r>
        <w:t>, § 8 ust. 15 pkt 2: „</w:t>
      </w:r>
      <w:r>
        <w:rPr>
          <w:rFonts w:ascii="Calibri" w:hAnsi="Calibri" w:cs="Calibri"/>
          <w:sz w:val="22"/>
          <w:szCs w:val="22"/>
        </w:rPr>
        <w:t>W ramach wykonania Przedmiotu umowy, Wykonawca będzie zobowiązany również do zapewnienia stałego wsparcia personelu po przeprowadzeniu szkoleń. Stałe wsparcie obejmuje: (…)</w:t>
      </w:r>
    </w:p>
    <w:p w14:paraId="7517F419" w14:textId="77777777" w:rsidR="00D20846" w:rsidRDefault="00D20846" w:rsidP="00D20846">
      <w:pPr>
        <w:pStyle w:val="Default"/>
        <w:tabs>
          <w:tab w:val="left" w:pos="567"/>
        </w:tabs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2) </w:t>
      </w:r>
      <w:r>
        <w:rPr>
          <w:rFonts w:ascii="Calibri" w:hAnsi="Calibri" w:cs="Calibri"/>
          <w:color w:val="auto"/>
          <w:sz w:val="22"/>
          <w:szCs w:val="22"/>
        </w:rPr>
        <w:tab/>
        <w:t>zorganizowanie na żądanie Zamawiającego dodatkowego szkolenia dla:</w:t>
      </w:r>
    </w:p>
    <w:p w14:paraId="32FC665C" w14:textId="77777777" w:rsidR="00D20846" w:rsidRDefault="00D20846" w:rsidP="00D20846">
      <w:pPr>
        <w:pStyle w:val="Default"/>
        <w:tabs>
          <w:tab w:val="left" w:pos="851"/>
        </w:tabs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a) </w:t>
      </w:r>
      <w:r>
        <w:rPr>
          <w:rFonts w:ascii="Calibri" w:hAnsi="Calibri" w:cs="Calibri"/>
          <w:color w:val="auto"/>
          <w:sz w:val="22"/>
          <w:szCs w:val="22"/>
        </w:rPr>
        <w:tab/>
        <w:t xml:space="preserve">personelu medycznego – w zakresie pozwalającym na prawidłową obsługę poszczególnych elementów wyposażenia i aparatury medycznej, </w:t>
      </w:r>
    </w:p>
    <w:p w14:paraId="17EF93E4" w14:textId="77777777" w:rsidR="00D20846" w:rsidRDefault="00D20846" w:rsidP="00D20846">
      <w:pPr>
        <w:pStyle w:val="Default"/>
        <w:tabs>
          <w:tab w:val="left" w:pos="851"/>
        </w:tabs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b) </w:t>
      </w:r>
      <w:r>
        <w:rPr>
          <w:rFonts w:ascii="Calibri" w:hAnsi="Calibri" w:cs="Calibri"/>
          <w:color w:val="auto"/>
          <w:sz w:val="22"/>
          <w:szCs w:val="22"/>
        </w:rPr>
        <w:tab/>
        <w:t>personelu technicznego – w zakresie pozwalającym na wykonywanie diagnostyki stanu technicznego poszczególnych elementów wyposażenia a także wykonywanie czynności konserwacyjnych, naprawczych i przeglądowych w terminach uzgodnionych przez Strony.”</w:t>
      </w:r>
    </w:p>
    <w:p w14:paraId="5D095BB5" w14:textId="77777777" w:rsidR="00D20846" w:rsidRDefault="00D20846" w:rsidP="00D20846">
      <w:pPr>
        <w:pStyle w:val="Akapitzlist"/>
        <w:tabs>
          <w:tab w:val="left" w:pos="284"/>
        </w:tabs>
        <w:ind w:left="284"/>
        <w:jc w:val="both"/>
      </w:pPr>
      <w:r>
        <w:t xml:space="preserve">Prosimy o dookreślenie ilości szkoleń dodatkowych na jedno szkolenie dodatkowe w czasie gwarancji. </w:t>
      </w:r>
    </w:p>
    <w:p w14:paraId="4B100C57" w14:textId="77777777" w:rsidR="00D20846" w:rsidRDefault="00D20846" w:rsidP="00D20846">
      <w:pPr>
        <w:tabs>
          <w:tab w:val="left" w:pos="284"/>
        </w:tabs>
        <w:ind w:left="284" w:hanging="284"/>
        <w:jc w:val="both"/>
      </w:pPr>
    </w:p>
    <w:p w14:paraId="41B63A6D" w14:textId="77777777" w:rsidR="00D20846" w:rsidRDefault="00D20846" w:rsidP="00D20846">
      <w:pPr>
        <w:pStyle w:val="Stopka"/>
        <w:numPr>
          <w:ilvl w:val="0"/>
          <w:numId w:val="1"/>
        </w:numPr>
        <w:tabs>
          <w:tab w:val="clear" w:pos="4536"/>
          <w:tab w:val="left" w:pos="284"/>
          <w:tab w:val="right" w:pos="8505"/>
        </w:tabs>
        <w:ind w:left="284" w:hanging="284"/>
        <w:jc w:val="both"/>
      </w:pPr>
      <w:r>
        <w:t xml:space="preserve">Dotyczy: Oferta Techniczna - Załącznik Nr 1 do </w:t>
      </w:r>
      <w:proofErr w:type="spellStart"/>
      <w:r>
        <w:t>siwz</w:t>
      </w:r>
      <w:proofErr w:type="spellEnd"/>
      <w:r>
        <w:t xml:space="preserve">, </w:t>
      </w:r>
      <w:proofErr w:type="spellStart"/>
      <w:r>
        <w:t>Lp</w:t>
      </w:r>
      <w:proofErr w:type="spellEnd"/>
      <w:r>
        <w:t xml:space="preserve"> 4 „całkowita ilość detektorów 7 w tym: (pionowe detektory na ręce, detektory minimalne wymiary 260 cm2; detektory na stopy minimalne wymiary 510 cm2; dodatkowy detektor do pomiaru odzież – sonda uzupełniająca),”. Prosimy Zamawiającego o modyfikację tego punktu i nadanie mu brzmienia: </w:t>
      </w:r>
    </w:p>
    <w:p w14:paraId="06EC32C1" w14:textId="77777777" w:rsidR="00D20846" w:rsidRDefault="00D20846" w:rsidP="00D20846">
      <w:pPr>
        <w:pStyle w:val="Stopka"/>
        <w:tabs>
          <w:tab w:val="clear" w:pos="4536"/>
          <w:tab w:val="left" w:pos="284"/>
          <w:tab w:val="right" w:pos="8505"/>
        </w:tabs>
        <w:ind w:left="284" w:hanging="284"/>
        <w:jc w:val="both"/>
      </w:pPr>
      <w:r>
        <w:tab/>
        <w:t>„całkowita ilość detektorów minimum 6 w tym: (pionowe detektory na ręce, detektory minimalne wymiary 260 cm2; detektory na stopy minimalne wymiary 510 cm2; w tym detektor do pomiaru odzieży – sonda uzupełniająca),”.</w:t>
      </w:r>
    </w:p>
    <w:p w14:paraId="2E63D0B5" w14:textId="77777777" w:rsidR="00D20846" w:rsidRDefault="00D20846" w:rsidP="00D20846">
      <w:pPr>
        <w:pStyle w:val="Stopka"/>
        <w:tabs>
          <w:tab w:val="clear" w:pos="4536"/>
          <w:tab w:val="left" w:pos="284"/>
          <w:tab w:val="right" w:pos="8505"/>
        </w:tabs>
        <w:ind w:left="284" w:hanging="284"/>
        <w:jc w:val="both"/>
      </w:pPr>
      <w:r>
        <w:tab/>
        <w:t xml:space="preserve">W takim rozwiązaniu jeden z detektorów na ręce służy również jako sonda do pomiaru skażenia odzieży. Podczas takiego pomiaru detektor przełącza się automatycznie w tryb sondy do pomiaru skażenia odzieży, co nie wymaga od użytkownika żadnych zmian w menu. </w:t>
      </w:r>
    </w:p>
    <w:p w14:paraId="464A8B3E" w14:textId="77777777" w:rsidR="00D20846" w:rsidRDefault="00D20846" w:rsidP="00D20846">
      <w:pPr>
        <w:pStyle w:val="Stopka"/>
        <w:tabs>
          <w:tab w:val="clear" w:pos="4536"/>
          <w:tab w:val="left" w:pos="284"/>
          <w:tab w:val="right" w:pos="8505"/>
        </w:tabs>
        <w:ind w:left="284" w:hanging="284"/>
        <w:jc w:val="both"/>
      </w:pPr>
    </w:p>
    <w:p w14:paraId="34CC9B0C" w14:textId="77777777" w:rsidR="00D20846" w:rsidRDefault="00D20846" w:rsidP="00D20846">
      <w:pPr>
        <w:pStyle w:val="Stopka"/>
        <w:numPr>
          <w:ilvl w:val="0"/>
          <w:numId w:val="1"/>
        </w:numPr>
        <w:tabs>
          <w:tab w:val="clear" w:pos="4536"/>
          <w:tab w:val="left" w:pos="284"/>
          <w:tab w:val="right" w:pos="8505"/>
        </w:tabs>
        <w:ind w:left="284" w:hanging="284"/>
        <w:jc w:val="both"/>
      </w:pPr>
      <w:r>
        <w:t xml:space="preserve">Dotyczy: Oferta Techniczna - Załącznik Nr 1 do </w:t>
      </w:r>
      <w:proofErr w:type="spellStart"/>
      <w:r>
        <w:t>siwz</w:t>
      </w:r>
      <w:proofErr w:type="spellEnd"/>
      <w:r>
        <w:t xml:space="preserve">, </w:t>
      </w:r>
      <w:proofErr w:type="spellStart"/>
      <w:r>
        <w:t>Lp</w:t>
      </w:r>
      <w:proofErr w:type="spellEnd"/>
      <w:r>
        <w:t xml:space="preserve"> 2 „</w:t>
      </w:r>
      <w:r>
        <w:rPr>
          <w:rFonts w:cstheme="minorHAnsi"/>
          <w:b/>
          <w:bCs/>
        </w:rPr>
        <w:t>Kosze osłonne 2 szt.”</w:t>
      </w:r>
      <w:r>
        <w:rPr>
          <w:rFonts w:cstheme="minorHAnsi"/>
          <w:bCs/>
        </w:rPr>
        <w:t xml:space="preserve">. </w:t>
      </w:r>
      <w:r>
        <w:rPr>
          <w:rFonts w:cstheme="minorHAnsi"/>
        </w:rPr>
        <w:t xml:space="preserve">Czy Zamawiający dopuści </w:t>
      </w:r>
      <w:r>
        <w:rPr>
          <w:rFonts w:cstheme="minorHAnsi"/>
          <w:bCs/>
        </w:rPr>
        <w:t>ofertę z koszami osłonnymi o pojemności 15 litrów, spełniającymi inne wymienione w tabeli parametry techniczne?</w:t>
      </w:r>
    </w:p>
    <w:p w14:paraId="2864E6D0" w14:textId="77777777" w:rsidR="00D20846" w:rsidRDefault="00D20846" w:rsidP="00D20846">
      <w:pPr>
        <w:pStyle w:val="Stopka"/>
        <w:tabs>
          <w:tab w:val="clear" w:pos="4536"/>
          <w:tab w:val="left" w:pos="284"/>
          <w:tab w:val="right" w:pos="8505"/>
        </w:tabs>
        <w:ind w:left="284" w:hanging="284"/>
        <w:jc w:val="both"/>
      </w:pPr>
    </w:p>
    <w:p w14:paraId="41F79008" w14:textId="77777777" w:rsidR="00D20846" w:rsidRDefault="00D20846" w:rsidP="00D20846">
      <w:pPr>
        <w:pStyle w:val="Stopka"/>
        <w:numPr>
          <w:ilvl w:val="0"/>
          <w:numId w:val="1"/>
        </w:numPr>
        <w:tabs>
          <w:tab w:val="clear" w:pos="4536"/>
          <w:tab w:val="left" w:pos="284"/>
          <w:tab w:val="right" w:pos="8505"/>
        </w:tabs>
        <w:ind w:left="284" w:hanging="284"/>
        <w:jc w:val="both"/>
      </w:pPr>
      <w:r>
        <w:t xml:space="preserve">Dotyczy: Oferta Techniczna - Załącznik Nr 1 do </w:t>
      </w:r>
      <w:proofErr w:type="spellStart"/>
      <w:r>
        <w:t>siwz</w:t>
      </w:r>
      <w:proofErr w:type="spellEnd"/>
      <w:r>
        <w:t xml:space="preserve">, </w:t>
      </w:r>
      <w:proofErr w:type="spellStart"/>
      <w:r>
        <w:t>Lp</w:t>
      </w:r>
      <w:proofErr w:type="spellEnd"/>
      <w:r>
        <w:t xml:space="preserve"> 4 „akustyczne i optyczne sygnały w języku polskim”. Prosimy Zamawiającego o usunięcie tego punktu. Urządzenia tego typu posiadają na tyle widoczne na wyświetlaczu komendy wraz z odpowiednimi rysunkami, że nie wymagają sygnałów w języku polskim.</w:t>
      </w:r>
    </w:p>
    <w:p w14:paraId="515D4DE9" w14:textId="77777777" w:rsidR="00D20846" w:rsidRDefault="00D20846" w:rsidP="00D20846">
      <w:pPr>
        <w:pStyle w:val="Stopka"/>
        <w:tabs>
          <w:tab w:val="clear" w:pos="4536"/>
          <w:tab w:val="left" w:pos="284"/>
          <w:tab w:val="right" w:pos="8505"/>
        </w:tabs>
        <w:ind w:left="284" w:hanging="284"/>
        <w:jc w:val="both"/>
      </w:pPr>
    </w:p>
    <w:p w14:paraId="0382B6AB" w14:textId="77777777" w:rsidR="00D20846" w:rsidRDefault="00D20846" w:rsidP="00D20846">
      <w:pPr>
        <w:pStyle w:val="Stopka"/>
        <w:numPr>
          <w:ilvl w:val="0"/>
          <w:numId w:val="1"/>
        </w:numPr>
        <w:tabs>
          <w:tab w:val="clear" w:pos="4536"/>
          <w:tab w:val="left" w:pos="284"/>
          <w:tab w:val="right" w:pos="8505"/>
        </w:tabs>
        <w:ind w:left="284" w:hanging="284"/>
        <w:jc w:val="both"/>
      </w:pPr>
      <w:r>
        <w:t xml:space="preserve">Dotyczy: Oferta Techniczna - Załącznik Nr 1 do </w:t>
      </w:r>
      <w:proofErr w:type="spellStart"/>
      <w:r>
        <w:t>siwz</w:t>
      </w:r>
      <w:proofErr w:type="spellEnd"/>
      <w:r>
        <w:t xml:space="preserve">, </w:t>
      </w:r>
      <w:proofErr w:type="spellStart"/>
      <w:r>
        <w:t>Lp</w:t>
      </w:r>
      <w:proofErr w:type="spellEnd"/>
      <w:r>
        <w:t xml:space="preserve"> 4 „</w:t>
      </w:r>
      <w:r>
        <w:rPr>
          <w:rFonts w:cstheme="minorHAnsi"/>
        </w:rPr>
        <w:t xml:space="preserve">detektory na stopy minimalne wymiary 510 cm2”. Czy Zamawiający dopuści </w:t>
      </w:r>
      <w:r>
        <w:rPr>
          <w:rFonts w:cstheme="minorHAnsi"/>
          <w:bCs/>
        </w:rPr>
        <w:t xml:space="preserve">bramkę do pomiaru skażeń powierzchniowych, w której </w:t>
      </w:r>
      <w:r>
        <w:rPr>
          <w:rFonts w:cstheme="minorHAnsi"/>
          <w:bCs/>
        </w:rPr>
        <w:lastRenderedPageBreak/>
        <w:t>minimalne wymiary detektorów na stopy będą wynosiły 410cm</w:t>
      </w:r>
      <w:r>
        <w:rPr>
          <w:rFonts w:cstheme="minorHAnsi"/>
          <w:bCs/>
          <w:vertAlign w:val="superscript"/>
        </w:rPr>
        <w:t>2</w:t>
      </w:r>
      <w:r>
        <w:rPr>
          <w:rFonts w:cstheme="minorHAnsi"/>
          <w:bCs/>
        </w:rPr>
        <w:t>? Jest to wystarczająca powierzchnia do pomiaru skażenia stóp, nawet w przypadku dużych męskich butów.</w:t>
      </w:r>
    </w:p>
    <w:p w14:paraId="48A67B7D" w14:textId="77777777" w:rsidR="00D20846" w:rsidRDefault="00D20846" w:rsidP="00D20846">
      <w:pPr>
        <w:pStyle w:val="Stopka"/>
        <w:tabs>
          <w:tab w:val="clear" w:pos="4536"/>
          <w:tab w:val="left" w:pos="284"/>
          <w:tab w:val="right" w:pos="8505"/>
        </w:tabs>
        <w:ind w:left="284" w:hanging="284"/>
        <w:jc w:val="both"/>
      </w:pPr>
    </w:p>
    <w:p w14:paraId="35DC3B2F" w14:textId="77777777" w:rsidR="00D20846" w:rsidRDefault="00D20846" w:rsidP="00D20846">
      <w:pPr>
        <w:pStyle w:val="Stopka"/>
        <w:numPr>
          <w:ilvl w:val="0"/>
          <w:numId w:val="1"/>
        </w:numPr>
        <w:tabs>
          <w:tab w:val="clear" w:pos="4536"/>
          <w:tab w:val="left" w:pos="284"/>
          <w:tab w:val="right" w:pos="8505"/>
        </w:tabs>
        <w:ind w:left="284" w:hanging="284"/>
        <w:jc w:val="both"/>
      </w:pPr>
      <w:r>
        <w:t xml:space="preserve">Dotyczy: Oferta Techniczna - Załącznik Nr 1 do </w:t>
      </w:r>
      <w:proofErr w:type="spellStart"/>
      <w:r>
        <w:t>siwz</w:t>
      </w:r>
      <w:proofErr w:type="spellEnd"/>
      <w:r>
        <w:t xml:space="preserve">, </w:t>
      </w:r>
      <w:proofErr w:type="spellStart"/>
      <w:r>
        <w:t>Lp</w:t>
      </w:r>
      <w:proofErr w:type="spellEnd"/>
      <w:r>
        <w:t xml:space="preserve"> 5 „wózek do kontroli skażenia np. podłogi dedykowany do miernika”. Prosimy Zamawiającego o potwierdzenie, że wymaga dostarczenia wózka do kontroli skażenia np. podłogi – 1szt.</w:t>
      </w:r>
    </w:p>
    <w:p w14:paraId="5CD74C92" w14:textId="77777777" w:rsidR="00D20846" w:rsidRDefault="00D20846" w:rsidP="00D20846">
      <w:pPr>
        <w:pStyle w:val="Stopka"/>
        <w:tabs>
          <w:tab w:val="clear" w:pos="4536"/>
          <w:tab w:val="left" w:pos="284"/>
          <w:tab w:val="right" w:pos="8505"/>
        </w:tabs>
        <w:ind w:left="284"/>
        <w:jc w:val="both"/>
      </w:pPr>
    </w:p>
    <w:p w14:paraId="4AA1565A" w14:textId="77777777" w:rsidR="00D20846" w:rsidRDefault="00D20846" w:rsidP="00D20846">
      <w:pPr>
        <w:pStyle w:val="Stopka"/>
        <w:numPr>
          <w:ilvl w:val="0"/>
          <w:numId w:val="1"/>
        </w:numPr>
        <w:tabs>
          <w:tab w:val="clear" w:pos="4536"/>
          <w:tab w:val="left" w:pos="284"/>
          <w:tab w:val="right" w:pos="8505"/>
        </w:tabs>
        <w:ind w:left="284" w:hanging="284"/>
        <w:jc w:val="both"/>
      </w:pPr>
      <w:r>
        <w:t xml:space="preserve">Dotyczy: Oferty – załącznik nr 5: W tabelce, w której należy podać ceny, są 4 (cztery) pozycje. Natomiast w Ofercie technicznej (załącznik nr 1) znajduje się 5 (pięć) pozycji. Do którego elementu wyposażenia należy dodać cenę Osłony stołowej? </w:t>
      </w:r>
    </w:p>
    <w:p w14:paraId="2A7AA851" w14:textId="77777777" w:rsidR="00D20846" w:rsidRDefault="00D20846" w:rsidP="00D20846">
      <w:pPr>
        <w:pStyle w:val="Stopka"/>
        <w:tabs>
          <w:tab w:val="clear" w:pos="4536"/>
          <w:tab w:val="left" w:pos="284"/>
          <w:tab w:val="right" w:pos="8505"/>
        </w:tabs>
        <w:jc w:val="both"/>
      </w:pPr>
    </w:p>
    <w:p w14:paraId="3E97FB4D" w14:textId="77777777" w:rsidR="00D20846" w:rsidRDefault="00D20846" w:rsidP="00D20846">
      <w:pPr>
        <w:pStyle w:val="Stopka"/>
        <w:numPr>
          <w:ilvl w:val="0"/>
          <w:numId w:val="1"/>
        </w:numPr>
        <w:tabs>
          <w:tab w:val="clear" w:pos="4536"/>
          <w:tab w:val="left" w:pos="284"/>
          <w:tab w:val="right" w:pos="8505"/>
        </w:tabs>
        <w:ind w:left="284" w:hanging="284"/>
        <w:jc w:val="both"/>
      </w:pPr>
      <w:r>
        <w:t>Termin dostawy: Prosimy Zamawiającego o określenie terminu dostawy jako ilość tygodni (np. 8 tygodni od podpisania umowy), a nie o podawanie konkretnej daty dostawy. Z uwagi na fakt, iż trudno jest przewidzieć czas trwania samego postępowania przetargowego, może okazać się, że na dostarczenie asortymentu będzie mało czasu. Dodatkowo, duża część wyposażenia sprowadzana jest z zagranicy. Należy również wziąć pod uwagę niepewną sytuację epidemiologiczną zarówno w Polsce, jak i w Europie.</w:t>
      </w:r>
    </w:p>
    <w:p w14:paraId="67908493" w14:textId="77777777" w:rsidR="00D20846" w:rsidRDefault="00D20846" w:rsidP="00D20846">
      <w:pPr>
        <w:pStyle w:val="Stopka"/>
        <w:tabs>
          <w:tab w:val="clear" w:pos="4536"/>
          <w:tab w:val="left" w:pos="284"/>
          <w:tab w:val="right" w:pos="8505"/>
        </w:tabs>
        <w:jc w:val="both"/>
      </w:pPr>
    </w:p>
    <w:p w14:paraId="2E3ADFCF" w14:textId="77777777" w:rsidR="00D20846" w:rsidRDefault="00D20846" w:rsidP="00D20846">
      <w:pPr>
        <w:pStyle w:val="Stopka"/>
        <w:numPr>
          <w:ilvl w:val="0"/>
          <w:numId w:val="1"/>
        </w:numPr>
        <w:tabs>
          <w:tab w:val="clear" w:pos="4536"/>
          <w:tab w:val="left" w:pos="284"/>
          <w:tab w:val="right" w:pos="8505"/>
        </w:tabs>
        <w:ind w:left="284" w:hanging="284"/>
        <w:jc w:val="both"/>
      </w:pPr>
      <w:r>
        <w:t xml:space="preserve">Dotyczy: Wzór umowy – załącznik nr 2 do </w:t>
      </w:r>
      <w:proofErr w:type="spellStart"/>
      <w:r>
        <w:t>siwz</w:t>
      </w:r>
      <w:proofErr w:type="spellEnd"/>
      <w:r>
        <w:t>, § 5 ust. 1 pkt 4): „</w:t>
      </w:r>
      <w:r>
        <w:rPr>
          <w:rFonts w:ascii="Calibri" w:hAnsi="Calibri" w:cs="Calibri"/>
          <w:bCs/>
        </w:rPr>
        <w:t>w wysokości 0,1% wartości netto przedmiotu umowy określonego w § 3 ust 1B za każdy dzień zwłoki w  stosunku do terminu określonego w § 2 pkt. 5, tj. w przypadku zwłoki  w terminie realizacji zamówienia na sukcesywne dostawy materiałów zużywalnych”</w:t>
      </w:r>
      <w:r>
        <w:t xml:space="preserve">. </w:t>
      </w:r>
    </w:p>
    <w:p w14:paraId="23A8CAF6" w14:textId="77777777" w:rsidR="00D20846" w:rsidRDefault="00D20846" w:rsidP="00D20846">
      <w:pPr>
        <w:pStyle w:val="Stopka"/>
        <w:tabs>
          <w:tab w:val="clear" w:pos="4536"/>
          <w:tab w:val="left" w:pos="284"/>
          <w:tab w:val="right" w:pos="8505"/>
        </w:tabs>
        <w:ind w:left="284"/>
        <w:jc w:val="both"/>
      </w:pPr>
      <w:r>
        <w:t>Prosimy o wykreślenie wskazanego postanowienia, gdyż nie jest przedmiotem niniejszego postępowania przetargowego i nie ma w nim zastosowania.</w:t>
      </w:r>
    </w:p>
    <w:p w14:paraId="5E86B762" w14:textId="534F1F9A" w:rsidR="00D20846" w:rsidRDefault="00D20846"/>
    <w:p w14:paraId="1D7C3283" w14:textId="40AA7DB8" w:rsidR="00D20846" w:rsidRDefault="00D20846"/>
    <w:p w14:paraId="79DBDDE7" w14:textId="77777777" w:rsidR="00D20846" w:rsidRPr="00D20846" w:rsidRDefault="00D20846" w:rsidP="00D20846">
      <w:pPr>
        <w:autoSpaceDE w:val="0"/>
        <w:autoSpaceDN w:val="0"/>
        <w:adjustRightInd w:val="0"/>
        <w:rPr>
          <w:rFonts w:eastAsiaTheme="minorHAnsi" w:cs="Arial"/>
          <w:color w:val="000000"/>
          <w:sz w:val="24"/>
          <w:szCs w:val="24"/>
          <w:lang w:eastAsia="en-US"/>
        </w:rPr>
      </w:pPr>
    </w:p>
    <w:p w14:paraId="65F41B04" w14:textId="77777777" w:rsidR="00C410FB" w:rsidRPr="00C410FB" w:rsidRDefault="00C410FB" w:rsidP="00C410F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60BD4CDB" w14:textId="77777777" w:rsidR="00C410FB" w:rsidRPr="00C410FB" w:rsidRDefault="00C410FB" w:rsidP="00C410F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410FB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C410FB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Pyt 1. Dotyczy: Załącznika 1 „oferta techniczna”, L.P.1, punkt „Materiał detektora BGO” </w:t>
      </w:r>
    </w:p>
    <w:p w14:paraId="593A56AF" w14:textId="77777777" w:rsidR="00C410FB" w:rsidRPr="00C410FB" w:rsidRDefault="00C410FB" w:rsidP="00C410F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410F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Czy zamawiający dopuści detektor o lepszej rozdzielczości na materiale </w:t>
      </w:r>
      <w:proofErr w:type="spellStart"/>
      <w:r w:rsidRPr="00C410F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NaI</w:t>
      </w:r>
      <w:proofErr w:type="spellEnd"/>
      <w:r w:rsidRPr="00C410F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? </w:t>
      </w:r>
    </w:p>
    <w:p w14:paraId="2E1C4B58" w14:textId="77777777" w:rsidR="00C410FB" w:rsidRPr="00C410FB" w:rsidRDefault="00C410FB" w:rsidP="00C410F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410F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Detektory BGO charakteryzują się lepszą wydajnością co jest </w:t>
      </w:r>
      <w:proofErr w:type="spellStart"/>
      <w:r w:rsidRPr="00C410F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aplikowalne</w:t>
      </w:r>
      <w:proofErr w:type="spellEnd"/>
      <w:r w:rsidRPr="00C410F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do większych energii. Z kolei do wykonania podstawowej weryfikacji czystości radiochemicznej oraz radionuklidu odpowiedni będzie detektor </w:t>
      </w:r>
      <w:proofErr w:type="spellStart"/>
      <w:r w:rsidRPr="00C410F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NaI</w:t>
      </w:r>
      <w:proofErr w:type="spellEnd"/>
      <w:r w:rsidRPr="00C410F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o lepszej rozdzielczości energetycznej w porównaniu do BGO. </w:t>
      </w:r>
    </w:p>
    <w:p w14:paraId="0E834BA9" w14:textId="77777777" w:rsidR="00C410FB" w:rsidRPr="00C410FB" w:rsidRDefault="00C410FB" w:rsidP="00C410F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410FB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Pyt 2. Dotyczy: Załącznika 1 „oferta techniczna”, L.P.1, punkt „wymiary scyntylatora 5 x 35 x 15 mm” </w:t>
      </w:r>
    </w:p>
    <w:p w14:paraId="5DFA39F5" w14:textId="77777777" w:rsidR="00C410FB" w:rsidRPr="00C410FB" w:rsidRDefault="00C410FB" w:rsidP="00C410F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410F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Czy zamawiający dopuści wymiary scyntylatora 25x25x25 mm? </w:t>
      </w:r>
    </w:p>
    <w:p w14:paraId="638E423F" w14:textId="77777777" w:rsidR="00C410FB" w:rsidRPr="00C410FB" w:rsidRDefault="00C410FB" w:rsidP="00C410F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410FB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Pyt 3. Dotyczy: Załącznika 1 „oferta techniczna”, L.P.1, punkt „wymiary scyntylatora 5 x 35 x 15 mm” </w:t>
      </w:r>
    </w:p>
    <w:p w14:paraId="63904759" w14:textId="77777777" w:rsidR="00C410FB" w:rsidRPr="00C410FB" w:rsidRDefault="00C410FB" w:rsidP="00C410F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410F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Czy zamawiający dopuści wymiary scyntylatora 25x25x25 mm? Scyntylator o takim kształcie zapewnia większa powierzchnię pomiarową. </w:t>
      </w:r>
    </w:p>
    <w:p w14:paraId="310E00B8" w14:textId="77777777" w:rsidR="00C410FB" w:rsidRPr="00C410FB" w:rsidRDefault="00C410FB" w:rsidP="00C410F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410FB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Pyt 4. Dotyczy: Załącznika 1 „oferta techniczna”, L.P.1, punkt „Średnica detektora min 45 mm” </w:t>
      </w:r>
    </w:p>
    <w:p w14:paraId="013E4F17" w14:textId="77777777" w:rsidR="00C410FB" w:rsidRPr="00C410FB" w:rsidRDefault="00C410FB" w:rsidP="00C410F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410F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Czy zamawiający dopuści detektor o średnicy min. 25 mm? Dzięki materiałowi, z którego wykonany jest detektor, mniejsza średnica jest tak samo efektywna w pomiarach. </w:t>
      </w:r>
    </w:p>
    <w:p w14:paraId="4E6CDA54" w14:textId="77777777" w:rsidR="00C410FB" w:rsidRPr="00C410FB" w:rsidRDefault="00C410FB" w:rsidP="00C410F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410FB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Pyt 5. Dotyczy: Załącznika 1 „oferta techniczna”, L.P.1, punkt „Długość detektora min. 200 mm” </w:t>
      </w:r>
    </w:p>
    <w:p w14:paraId="71C05D37" w14:textId="52CB5E63" w:rsidR="00D20846" w:rsidRDefault="00C410FB" w:rsidP="00C410FB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410F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Czy zamawiający dopuści detektor o minimalnej długości 180 mm? Wartość ta nie ma wpływu na jakość wykonywanego pomiaru.</w:t>
      </w:r>
    </w:p>
    <w:p w14:paraId="5EF0F007" w14:textId="5C35243E" w:rsidR="00C410FB" w:rsidRDefault="00C410FB" w:rsidP="00C410FB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DBC4758" w14:textId="3B09FF98" w:rsidR="00C410FB" w:rsidRDefault="00C410FB" w:rsidP="00C410FB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5B3BE212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Pytanie nr 1 </w:t>
      </w:r>
      <w:r>
        <w:rPr>
          <w:sz w:val="20"/>
          <w:szCs w:val="20"/>
        </w:rPr>
        <w:t xml:space="preserve">Dotyczy </w:t>
      </w:r>
      <w:r>
        <w:rPr>
          <w:b/>
          <w:bCs/>
          <w:sz w:val="20"/>
          <w:szCs w:val="20"/>
        </w:rPr>
        <w:t xml:space="preserve">skanera TLC </w:t>
      </w:r>
      <w:r>
        <w:rPr>
          <w:sz w:val="20"/>
          <w:szCs w:val="20"/>
        </w:rPr>
        <w:t xml:space="preserve">opisanego w punkcie L.p.1: </w:t>
      </w:r>
    </w:p>
    <w:p w14:paraId="235CB4C4" w14:textId="77777777" w:rsidR="00140DE4" w:rsidRDefault="00140DE4" w:rsidP="00140DE4">
      <w:pPr>
        <w:pStyle w:val="Default"/>
        <w:spacing w:after="3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>
        <w:rPr>
          <w:sz w:val="20"/>
          <w:szCs w:val="20"/>
        </w:rPr>
        <w:t xml:space="preserve">Prosimy Zamawiającego o potwierdzenie, że do skanera ma być dostarczony komputer PC lub laptop na którym będzie zainstalowane oprogramowanie sterujące urządzeniem lub Zamawiający zamierza dostarczyć w/w komputer we własnym zakresie? </w:t>
      </w:r>
    </w:p>
    <w:p w14:paraId="368F9015" w14:textId="77777777" w:rsidR="00140DE4" w:rsidRDefault="00140DE4" w:rsidP="00140DE4">
      <w:pPr>
        <w:pStyle w:val="Default"/>
        <w:spacing w:after="3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b) </w:t>
      </w:r>
      <w:r>
        <w:rPr>
          <w:sz w:val="20"/>
          <w:szCs w:val="20"/>
        </w:rPr>
        <w:t>Prosimy Zamawiającego o potwierdzenie, że w ramach dostawy skanera TLC mają wchodzić dedykowane (</w:t>
      </w:r>
      <w:proofErr w:type="spellStart"/>
      <w:r>
        <w:rPr>
          <w:sz w:val="20"/>
          <w:szCs w:val="20"/>
        </w:rPr>
        <w:t>niskoaktywne</w:t>
      </w:r>
      <w:proofErr w:type="spellEnd"/>
      <w:r>
        <w:rPr>
          <w:sz w:val="20"/>
          <w:szCs w:val="20"/>
        </w:rPr>
        <w:t xml:space="preserve"> – nie wymagające stosownych zezwoleń) zamknięte źródła kontrolne służące do kontroli jakości aparatu lub Zamawiający zamierza dostarczyć w/w źródła we własnym zakresie? </w:t>
      </w:r>
    </w:p>
    <w:p w14:paraId="3C97370B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c) </w:t>
      </w:r>
      <w:r>
        <w:rPr>
          <w:sz w:val="20"/>
          <w:szCs w:val="20"/>
        </w:rPr>
        <w:t xml:space="preserve">Prosimy Zamawiającego o dopuszczenie urządzenia </w:t>
      </w:r>
      <w:proofErr w:type="spellStart"/>
      <w:r>
        <w:rPr>
          <w:b/>
          <w:bCs/>
          <w:sz w:val="20"/>
          <w:szCs w:val="20"/>
        </w:rPr>
        <w:t>Elysia-Raytest</w:t>
      </w:r>
      <w:proofErr w:type="spellEnd"/>
      <w:r>
        <w:rPr>
          <w:b/>
          <w:bCs/>
          <w:sz w:val="20"/>
          <w:szCs w:val="20"/>
        </w:rPr>
        <w:t xml:space="preserve"> typ </w:t>
      </w:r>
      <w:proofErr w:type="spellStart"/>
      <w:r>
        <w:rPr>
          <w:b/>
          <w:bCs/>
          <w:sz w:val="20"/>
          <w:szCs w:val="20"/>
        </w:rPr>
        <w:t>MiniGita</w:t>
      </w:r>
      <w:proofErr w:type="spellEnd"/>
      <w:r>
        <w:rPr>
          <w:b/>
          <w:bCs/>
          <w:sz w:val="20"/>
          <w:szCs w:val="20"/>
        </w:rPr>
        <w:t xml:space="preserve"> Single</w:t>
      </w:r>
      <w:r>
        <w:rPr>
          <w:sz w:val="20"/>
          <w:szCs w:val="20"/>
        </w:rPr>
        <w:t xml:space="preserve">, spełniającego podstawowe wymagania SIWZ, ale charakteryzującego się następującymi parametrami: </w:t>
      </w:r>
    </w:p>
    <w:p w14:paraId="10276A6E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</w:p>
    <w:p w14:paraId="532AB1BC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Szybkość skanowania 1 – 120 cm/min - Osłona kolimatora, </w:t>
      </w:r>
      <w:r>
        <w:rPr>
          <w:b/>
          <w:bCs/>
          <w:sz w:val="20"/>
          <w:szCs w:val="20"/>
        </w:rPr>
        <w:t xml:space="preserve">10 mm Wolframu dla Tc-99m + kolimator wewnętrzny, całkowita osłona kolimatora 60 mm </w:t>
      </w:r>
      <w:r>
        <w:rPr>
          <w:sz w:val="20"/>
          <w:szCs w:val="20"/>
        </w:rPr>
        <w:t xml:space="preserve">- Waga poniżej 18,4 kg - Materiał detektora BGO - Wymiary scyntylatora 5 x 35 x 15 mm - Średnica detektora: 60 mm - Długość detektora: 250 mm - Analizator wielokanałowy, 1024 kanały - Zakres napięcia: 0 – 1000V - Współczynnik konwersji min0.5 MHz – brak wyjścia analogowego, wyjście cyfrowe - Liniowość &lt;2% w całym przedziale </w:t>
      </w:r>
    </w:p>
    <w:p w14:paraId="27F166D8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</w:p>
    <w:p w14:paraId="7303355F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Pytanie nr 2 </w:t>
      </w:r>
      <w:r>
        <w:rPr>
          <w:sz w:val="20"/>
          <w:szCs w:val="20"/>
        </w:rPr>
        <w:t xml:space="preserve">Dotyczy </w:t>
      </w:r>
      <w:r>
        <w:rPr>
          <w:b/>
          <w:bCs/>
          <w:sz w:val="20"/>
          <w:szCs w:val="20"/>
        </w:rPr>
        <w:t xml:space="preserve">koszy osłonnych </w:t>
      </w:r>
      <w:r>
        <w:rPr>
          <w:sz w:val="20"/>
          <w:szCs w:val="20"/>
        </w:rPr>
        <w:t xml:space="preserve">opisanych w punkcie L.p.2: </w:t>
      </w:r>
    </w:p>
    <w:p w14:paraId="5D237399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>
        <w:rPr>
          <w:sz w:val="20"/>
          <w:szCs w:val="20"/>
        </w:rPr>
        <w:t xml:space="preserve">Prosimy Zamawiającego o dopuszczenie koszy, spełniających wymagania SIWZ, ale otwieranych nogą przez nacisk pedału. </w:t>
      </w:r>
    </w:p>
    <w:p w14:paraId="3416989D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</w:p>
    <w:p w14:paraId="61E98551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Aktualnie postawione przez Zamawiającego rozwiązanie oznacza kosze sterowane/otwierane elektromechanicznie bez udziału rąk/nóg operatora. Czy w razie awarii sterowania bądź braku zasilania energią elektryczną, będzie możliwe otwarcie takiego kosza bezdotykowo? </w:t>
      </w:r>
      <w:r>
        <w:rPr>
          <w:b/>
          <w:bCs/>
          <w:sz w:val="20"/>
          <w:szCs w:val="20"/>
        </w:rPr>
        <w:t xml:space="preserve">Pytanie nr 3 </w:t>
      </w:r>
      <w:r>
        <w:rPr>
          <w:sz w:val="20"/>
          <w:szCs w:val="20"/>
        </w:rPr>
        <w:t xml:space="preserve">Dotyczy </w:t>
      </w:r>
      <w:r>
        <w:rPr>
          <w:b/>
          <w:bCs/>
          <w:sz w:val="20"/>
          <w:szCs w:val="20"/>
        </w:rPr>
        <w:t xml:space="preserve">Bramki do pomiaru skażeń powierzchniowych opisanej w </w:t>
      </w:r>
      <w:r>
        <w:rPr>
          <w:sz w:val="20"/>
          <w:szCs w:val="20"/>
        </w:rPr>
        <w:t xml:space="preserve">L.p.4: </w:t>
      </w:r>
    </w:p>
    <w:p w14:paraId="56AC5CCD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>
        <w:rPr>
          <w:sz w:val="20"/>
          <w:szCs w:val="20"/>
        </w:rPr>
        <w:t xml:space="preserve">Prosimy Zamawiającego o dopuszczenie bramki </w:t>
      </w:r>
      <w:proofErr w:type="spellStart"/>
      <w:r>
        <w:rPr>
          <w:sz w:val="20"/>
          <w:szCs w:val="20"/>
        </w:rPr>
        <w:t>Berthold</w:t>
      </w:r>
      <w:proofErr w:type="spellEnd"/>
      <w:r>
        <w:rPr>
          <w:sz w:val="20"/>
          <w:szCs w:val="20"/>
        </w:rPr>
        <w:t xml:space="preserve"> Technologies, spełniającej wymagania SIWZ, ale wyposażoną w sześć detektorów ( o większej powierzchni i bardziej wydajnych): </w:t>
      </w:r>
    </w:p>
    <w:p w14:paraId="2D70FF4A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</w:p>
    <w:p w14:paraId="62FE730D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całkowita ilość detektorów 6 sztuk w tym: (pionowe detektory na ręce, detektory o powierzchni 340 cm2; detektory na stopy minimalne wymiary 550 cm2; detektor do pomiaru odzieży – zdejmowany jeden z detektorów do pomiaru rąk; </w:t>
      </w:r>
    </w:p>
    <w:p w14:paraId="5690AA44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</w:p>
    <w:p w14:paraId="06E0C5CD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b) </w:t>
      </w:r>
      <w:r>
        <w:rPr>
          <w:sz w:val="20"/>
          <w:szCs w:val="20"/>
        </w:rPr>
        <w:t xml:space="preserve">Prosimy Zamawiającego o dopuszczenie bramki, spełniającej wymagania SIWZ, </w:t>
      </w:r>
      <w:r>
        <w:rPr>
          <w:b/>
          <w:bCs/>
          <w:sz w:val="20"/>
          <w:szCs w:val="20"/>
        </w:rPr>
        <w:t xml:space="preserve">ale alternatywnie w wersji ekonomicznej </w:t>
      </w:r>
      <w:r>
        <w:rPr>
          <w:sz w:val="20"/>
          <w:szCs w:val="20"/>
        </w:rPr>
        <w:t xml:space="preserve">wyposażoną w cztery detektory (o większej powierzchni i bardziej wydajnych): </w:t>
      </w:r>
    </w:p>
    <w:p w14:paraId="78110DCE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</w:p>
    <w:p w14:paraId="414B8ADA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całkowita ilość detektorów 4 w tym: (pionowe detektory na ręce, detektory minimalne wymiary 340 cm2; detektory na stopy minimalne wymiary 550 cm2; detektor do pomiaru odzieży – zdejmowany jeden z detektorów do pomiaru rąk; </w:t>
      </w:r>
    </w:p>
    <w:p w14:paraId="0A1AA025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>
        <w:rPr>
          <w:sz w:val="20"/>
          <w:szCs w:val="20"/>
        </w:rPr>
        <w:t xml:space="preserve">Prosimy Zamawiającego o dopuszczenie bramki, spełniającej wymagania SIWZ, ale powiadamiającą </w:t>
      </w:r>
      <w:r>
        <w:rPr>
          <w:b/>
          <w:bCs/>
          <w:sz w:val="20"/>
          <w:szCs w:val="20"/>
        </w:rPr>
        <w:t xml:space="preserve">akustyczne i optyczne sygnałami w języku angielskim? </w:t>
      </w:r>
    </w:p>
    <w:p w14:paraId="3A7E61D7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</w:p>
    <w:p w14:paraId="1D7C4A00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Producent w/w urządzeń tj. firma </w:t>
      </w:r>
      <w:proofErr w:type="spellStart"/>
      <w:r>
        <w:rPr>
          <w:b/>
          <w:bCs/>
          <w:sz w:val="20"/>
          <w:szCs w:val="20"/>
        </w:rPr>
        <w:t>Berthold</w:t>
      </w:r>
      <w:proofErr w:type="spellEnd"/>
      <w:r>
        <w:rPr>
          <w:b/>
          <w:bCs/>
          <w:sz w:val="20"/>
          <w:szCs w:val="20"/>
        </w:rPr>
        <w:t xml:space="preserve"> Technologies nie przewiduje wydania oprogramowania w polskiej wersji językowej. Pytanie nr 4 </w:t>
      </w:r>
      <w:r>
        <w:rPr>
          <w:sz w:val="20"/>
          <w:szCs w:val="20"/>
        </w:rPr>
        <w:t xml:space="preserve">Dotyczy </w:t>
      </w:r>
      <w:r>
        <w:rPr>
          <w:b/>
          <w:bCs/>
          <w:sz w:val="20"/>
          <w:szCs w:val="20"/>
        </w:rPr>
        <w:t xml:space="preserve">Przenośnego miernika mocy dawki oraz skażeń promieniowania opisanego w </w:t>
      </w:r>
      <w:r>
        <w:rPr>
          <w:sz w:val="20"/>
          <w:szCs w:val="20"/>
        </w:rPr>
        <w:t xml:space="preserve">L.p.5: </w:t>
      </w:r>
      <w:r>
        <w:rPr>
          <w:b/>
          <w:bCs/>
          <w:sz w:val="20"/>
          <w:szCs w:val="20"/>
        </w:rPr>
        <w:t xml:space="preserve">Możemy zaoferować Państwu miernik (LB 124 SCINT-D firmy </w:t>
      </w:r>
      <w:proofErr w:type="spellStart"/>
      <w:r>
        <w:rPr>
          <w:b/>
          <w:bCs/>
          <w:sz w:val="20"/>
          <w:szCs w:val="20"/>
        </w:rPr>
        <w:t>Berthold</w:t>
      </w:r>
      <w:proofErr w:type="spellEnd"/>
      <w:r>
        <w:rPr>
          <w:b/>
          <w:bCs/>
          <w:sz w:val="20"/>
          <w:szCs w:val="20"/>
        </w:rPr>
        <w:t xml:space="preserve"> Technologies) o powierzchni aktywnej 170 cm2 zamiast minimalnej wymaganej 100 cm2, z czego następnie wynika NIECO większa masa miernika (wraz z bateriami). </w:t>
      </w:r>
    </w:p>
    <w:p w14:paraId="442FB41F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Czy Zamawiający dopuści miernik o masie ok. 1,4 kg (wraz z bateriami) </w:t>
      </w:r>
      <w:r>
        <w:rPr>
          <w:sz w:val="20"/>
          <w:szCs w:val="20"/>
        </w:rPr>
        <w:t xml:space="preserve">zamiast wymaganego do 1 kg? </w:t>
      </w:r>
    </w:p>
    <w:p w14:paraId="751DE618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</w:p>
    <w:p w14:paraId="171128F2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b) Czy Zamawiający dopuści miernik o zakresie pomiaru mocy dawki od 100 </w:t>
      </w:r>
      <w:proofErr w:type="spellStart"/>
      <w:r>
        <w:rPr>
          <w:b/>
          <w:bCs/>
          <w:sz w:val="20"/>
          <w:szCs w:val="20"/>
        </w:rPr>
        <w:t>nSv</w:t>
      </w:r>
      <w:proofErr w:type="spellEnd"/>
      <w:r>
        <w:rPr>
          <w:b/>
          <w:bCs/>
          <w:sz w:val="20"/>
          <w:szCs w:val="20"/>
        </w:rPr>
        <w:t xml:space="preserve">/h do 20 </w:t>
      </w:r>
      <w:proofErr w:type="spellStart"/>
      <w:r>
        <w:rPr>
          <w:b/>
          <w:bCs/>
          <w:sz w:val="20"/>
          <w:szCs w:val="20"/>
        </w:rPr>
        <w:t>mSv</w:t>
      </w:r>
      <w:proofErr w:type="spellEnd"/>
      <w:r>
        <w:rPr>
          <w:b/>
          <w:bCs/>
          <w:sz w:val="20"/>
          <w:szCs w:val="20"/>
        </w:rPr>
        <w:t xml:space="preserve">/h i zakresie energetycznym od 50 </w:t>
      </w:r>
      <w:proofErr w:type="spellStart"/>
      <w:r>
        <w:rPr>
          <w:b/>
          <w:bCs/>
          <w:sz w:val="20"/>
          <w:szCs w:val="20"/>
        </w:rPr>
        <w:t>keV</w:t>
      </w:r>
      <w:proofErr w:type="spellEnd"/>
      <w:r>
        <w:rPr>
          <w:b/>
          <w:bCs/>
          <w:sz w:val="20"/>
          <w:szCs w:val="20"/>
        </w:rPr>
        <w:t xml:space="preserve"> do 1,3 </w:t>
      </w:r>
      <w:proofErr w:type="spellStart"/>
      <w:r>
        <w:rPr>
          <w:b/>
          <w:bCs/>
          <w:sz w:val="20"/>
          <w:szCs w:val="20"/>
        </w:rPr>
        <w:t>MeV</w:t>
      </w:r>
      <w:proofErr w:type="spellEnd"/>
      <w:r>
        <w:rPr>
          <w:b/>
          <w:bCs/>
          <w:sz w:val="20"/>
          <w:szCs w:val="20"/>
        </w:rPr>
        <w:t xml:space="preserve">, zamiast wymaganego </w:t>
      </w:r>
      <w:r>
        <w:rPr>
          <w:sz w:val="20"/>
          <w:szCs w:val="20"/>
        </w:rPr>
        <w:t xml:space="preserve">- pomiar mocy dawki w zakresie od 10 </w:t>
      </w:r>
      <w:r>
        <w:rPr>
          <w:sz w:val="20"/>
          <w:szCs w:val="20"/>
        </w:rPr>
        <w:t></w:t>
      </w:r>
      <w:proofErr w:type="spellStart"/>
      <w:r>
        <w:rPr>
          <w:sz w:val="20"/>
          <w:szCs w:val="20"/>
        </w:rPr>
        <w:t>Sv</w:t>
      </w:r>
      <w:proofErr w:type="spellEnd"/>
      <w:r>
        <w:rPr>
          <w:sz w:val="20"/>
          <w:szCs w:val="20"/>
        </w:rPr>
        <w:t xml:space="preserve">/h do 20 </w:t>
      </w:r>
      <w:proofErr w:type="spellStart"/>
      <w:r>
        <w:rPr>
          <w:sz w:val="20"/>
          <w:szCs w:val="20"/>
        </w:rPr>
        <w:t>mSv</w:t>
      </w:r>
      <w:proofErr w:type="spellEnd"/>
      <w:r>
        <w:rPr>
          <w:sz w:val="20"/>
          <w:szCs w:val="20"/>
        </w:rPr>
        <w:t xml:space="preserve">/h i zakres energetyczny minimum od 40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do 1,3 </w:t>
      </w:r>
      <w:proofErr w:type="spellStart"/>
      <w:r>
        <w:rPr>
          <w:sz w:val="20"/>
          <w:szCs w:val="20"/>
        </w:rPr>
        <w:t>MeV</w:t>
      </w:r>
      <w:proofErr w:type="spellEnd"/>
      <w:r>
        <w:rPr>
          <w:sz w:val="20"/>
          <w:szCs w:val="20"/>
        </w:rPr>
        <w:t xml:space="preserve">? </w:t>
      </w:r>
    </w:p>
    <w:p w14:paraId="085C9A11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</w:p>
    <w:p w14:paraId="638F42F5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c) Czy Zamawiający dopuści miernik posiadający duży detektor skażeń alfa/beta (170 cm2 pow. aktywna) wraz z wbudowanym miernikiem równoważnika mocy dawki H*(10) bez możliwości podłączania dodatkowych sond ? </w:t>
      </w:r>
      <w:r>
        <w:rPr>
          <w:sz w:val="20"/>
          <w:szCs w:val="20"/>
        </w:rPr>
        <w:t xml:space="preserve">(ew. jakie sondy poza alfa/beta – gamma Zamawiający ma na myśli ? czy np. Sondę neutronową ?) </w:t>
      </w:r>
    </w:p>
    <w:p w14:paraId="0A08A778" w14:textId="77777777" w:rsidR="00140DE4" w:rsidRDefault="00140DE4" w:rsidP="00140DE4">
      <w:pPr>
        <w:pStyle w:val="Default"/>
        <w:jc w:val="both"/>
        <w:rPr>
          <w:sz w:val="20"/>
          <w:szCs w:val="20"/>
        </w:rPr>
      </w:pPr>
    </w:p>
    <w:p w14:paraId="090D60BE" w14:textId="77777777" w:rsidR="00140DE4" w:rsidRPr="00257C9C" w:rsidRDefault="00140DE4" w:rsidP="00140DE4">
      <w:pPr>
        <w:pStyle w:val="Default"/>
        <w:jc w:val="both"/>
        <w:rPr>
          <w:sz w:val="20"/>
          <w:szCs w:val="20"/>
        </w:rPr>
      </w:pPr>
      <w:r w:rsidRPr="00257C9C">
        <w:rPr>
          <w:sz w:val="20"/>
          <w:szCs w:val="20"/>
        </w:rPr>
        <w:t xml:space="preserve">Pytanie nr 5 Dotyczy ogólnych warunków udziału w postępowaniu. </w:t>
      </w:r>
    </w:p>
    <w:p w14:paraId="61450AB3" w14:textId="77777777" w:rsidR="00140DE4" w:rsidRPr="00257C9C" w:rsidRDefault="00140DE4" w:rsidP="00140DE4">
      <w:pPr>
        <w:pStyle w:val="Default"/>
        <w:jc w:val="both"/>
        <w:rPr>
          <w:sz w:val="20"/>
          <w:szCs w:val="20"/>
        </w:rPr>
      </w:pPr>
      <w:r w:rsidRPr="00257C9C">
        <w:rPr>
          <w:sz w:val="20"/>
          <w:szCs w:val="20"/>
        </w:rPr>
        <w:t xml:space="preserve">a) Prosimy Zamawiającego, w razie braku możliwości dopuszczenia wymienionego wyżej wyposażenia, o rozdzielenie dostawy poszczególnych urządzeń na osobne zadania (części). W takim wypadku będziemy mieli możliwość zaoferowania Państwu wyposażenia w częściach spełniających SIWZ. </w:t>
      </w:r>
    </w:p>
    <w:p w14:paraId="46CFC17D" w14:textId="29EEF57B" w:rsidR="00D20846" w:rsidRDefault="00D20846" w:rsidP="00D20846"/>
    <w:sectPr w:rsidR="00D2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06685"/>
    <w:multiLevelType w:val="hybridMultilevel"/>
    <w:tmpl w:val="5BBC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0B"/>
    <w:rsid w:val="00140DE4"/>
    <w:rsid w:val="00AC0361"/>
    <w:rsid w:val="00B1740B"/>
    <w:rsid w:val="00C410FB"/>
    <w:rsid w:val="00D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B0E3"/>
  <w15:chartTrackingRefBased/>
  <w15:docId w15:val="{4BA08E14-95F6-42A2-A294-4544EFC8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84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20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08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0846"/>
    <w:pPr>
      <w:ind w:left="720"/>
      <w:contextualSpacing/>
    </w:pPr>
  </w:style>
  <w:style w:type="paragraph" w:customStyle="1" w:styleId="Default">
    <w:name w:val="Default"/>
    <w:rsid w:val="00D20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2233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dcterms:created xsi:type="dcterms:W3CDTF">2020-10-13T06:14:00Z</dcterms:created>
  <dcterms:modified xsi:type="dcterms:W3CDTF">2020-10-13T06:58:00Z</dcterms:modified>
</cp:coreProperties>
</file>